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5C" w:rsidRPr="002C54A7" w:rsidRDefault="0003775C" w:rsidP="0003775C">
      <w:pPr>
        <w:pStyle w:val="NoSpacing"/>
        <w:jc w:val="center"/>
        <w:rPr>
          <w:b/>
        </w:rPr>
      </w:pPr>
      <w:r w:rsidRPr="002C54A7">
        <w:rPr>
          <w:b/>
        </w:rPr>
        <w:t>Religious Rhetoric and American Politics: The Endurance of Civil Religion in Electoral Campaigns</w:t>
      </w:r>
    </w:p>
    <w:p w:rsidR="0003775C" w:rsidRPr="002C54A7" w:rsidRDefault="0003775C" w:rsidP="0003775C">
      <w:pPr>
        <w:pStyle w:val="NoSpacing"/>
        <w:jc w:val="center"/>
        <w:rPr>
          <w:b/>
        </w:rPr>
      </w:pPr>
    </w:p>
    <w:p w:rsidR="0003775C" w:rsidRPr="002C54A7" w:rsidRDefault="0003775C" w:rsidP="0003775C">
      <w:pPr>
        <w:pStyle w:val="NoSpacing"/>
        <w:jc w:val="center"/>
        <w:rPr>
          <w:b/>
        </w:rPr>
      </w:pPr>
      <w:r w:rsidRPr="002C54A7">
        <w:rPr>
          <w:b/>
        </w:rPr>
        <w:t xml:space="preserve">Christopher B. </w:t>
      </w:r>
      <w:proofErr w:type="spellStart"/>
      <w:r w:rsidRPr="002C54A7">
        <w:rPr>
          <w:b/>
        </w:rPr>
        <w:t>Chapp</w:t>
      </w:r>
      <w:proofErr w:type="spellEnd"/>
    </w:p>
    <w:p w:rsidR="0003775C" w:rsidRPr="002C54A7" w:rsidRDefault="0003775C" w:rsidP="0003775C">
      <w:pPr>
        <w:pStyle w:val="NoSpacing"/>
        <w:jc w:val="center"/>
        <w:rPr>
          <w:b/>
        </w:rPr>
      </w:pPr>
    </w:p>
    <w:p w:rsidR="0003775C" w:rsidRPr="002C54A7" w:rsidRDefault="0003775C" w:rsidP="0003775C">
      <w:pPr>
        <w:pStyle w:val="NoSpacing"/>
        <w:jc w:val="center"/>
        <w:rPr>
          <w:b/>
        </w:rPr>
      </w:pPr>
      <w:r w:rsidRPr="002C54A7">
        <w:rPr>
          <w:b/>
        </w:rPr>
        <w:t>Cornell University Press</w:t>
      </w:r>
    </w:p>
    <w:p w:rsidR="00F124B2" w:rsidRPr="002C54A7" w:rsidRDefault="0003775C" w:rsidP="0003775C">
      <w:pPr>
        <w:pStyle w:val="NoSpacing"/>
        <w:jc w:val="center"/>
        <w:rPr>
          <w:b/>
        </w:rPr>
      </w:pPr>
      <w:r w:rsidRPr="002C54A7">
        <w:rPr>
          <w:b/>
        </w:rPr>
        <w:t>Ithaca and London</w:t>
      </w:r>
    </w:p>
    <w:p w:rsidR="0003775C" w:rsidRDefault="0003775C" w:rsidP="0003775C">
      <w:pPr>
        <w:pStyle w:val="NoSpacing"/>
      </w:pPr>
    </w:p>
    <w:p w:rsidR="0003775C" w:rsidRPr="0003775C" w:rsidRDefault="0003775C" w:rsidP="0003775C">
      <w:pPr>
        <w:pStyle w:val="NoSpacing"/>
        <w:rPr>
          <w:b/>
          <w:u w:val="single"/>
        </w:rPr>
      </w:pPr>
      <w:r w:rsidRPr="0003775C">
        <w:rPr>
          <w:b/>
          <w:u w:val="single"/>
        </w:rPr>
        <w:t>Appendix Materials for Chapter 3</w:t>
      </w:r>
    </w:p>
    <w:p w:rsidR="0003775C" w:rsidRDefault="0003775C" w:rsidP="0003775C">
      <w:pPr>
        <w:pStyle w:val="NoSpacing"/>
      </w:pPr>
      <w:r>
        <w:t>This document contains measurement and statistical detai</w:t>
      </w:r>
      <w:r w:rsidR="00626D59">
        <w:t>ls to accompany chapter three</w:t>
      </w:r>
      <w:r>
        <w:t xml:space="preserve"> of </w:t>
      </w:r>
      <w:r w:rsidRPr="0003775C">
        <w:rPr>
          <w:i/>
        </w:rPr>
        <w:t>Religious Rhetoric and American Politics: The Endurance of Civil Religion in Electoral Campaigns</w:t>
      </w:r>
      <w:r>
        <w:t xml:space="preserve">.  For additional details, please contact author at </w:t>
      </w:r>
      <w:hyperlink r:id="rId5" w:history="1">
        <w:r w:rsidRPr="00723A3B">
          <w:rPr>
            <w:rStyle w:val="Hyperlink"/>
          </w:rPr>
          <w:t>chappc@uww.edu</w:t>
        </w:r>
      </w:hyperlink>
      <w:r>
        <w:t>.</w:t>
      </w:r>
    </w:p>
    <w:p w:rsidR="0003775C" w:rsidRPr="0003775C" w:rsidRDefault="0003775C" w:rsidP="0003775C">
      <w:pPr>
        <w:pStyle w:val="NoSpacing"/>
        <w:rPr>
          <w:u w:val="single"/>
        </w:rPr>
      </w:pPr>
    </w:p>
    <w:p w:rsidR="0003775C" w:rsidRPr="0003775C" w:rsidRDefault="0003775C" w:rsidP="0003775C">
      <w:pPr>
        <w:pStyle w:val="NoSpacing"/>
        <w:rPr>
          <w:b/>
          <w:u w:val="single"/>
        </w:rPr>
      </w:pPr>
      <w:r w:rsidRPr="0003775C">
        <w:rPr>
          <w:b/>
          <w:u w:val="single"/>
        </w:rPr>
        <w:t>Contents:</w:t>
      </w:r>
    </w:p>
    <w:p w:rsidR="0003775C" w:rsidRPr="0003775C" w:rsidRDefault="0003775C" w:rsidP="0003775C">
      <w:pPr>
        <w:pStyle w:val="NoSpacing"/>
      </w:pPr>
      <w:r>
        <w:t xml:space="preserve">1. </w:t>
      </w:r>
      <w:r w:rsidRPr="0003775C">
        <w:t>Content analysis codebook for selected variables</w:t>
      </w:r>
    </w:p>
    <w:p w:rsidR="002B2AE6" w:rsidRDefault="0003775C" w:rsidP="0003775C">
      <w:pPr>
        <w:pStyle w:val="NoSpacing"/>
      </w:pPr>
      <w:r>
        <w:t>2. Content analysis reliability information</w:t>
      </w:r>
    </w:p>
    <w:p w:rsidR="002B2AE6" w:rsidRDefault="002B2AE6" w:rsidP="0003775C">
      <w:pPr>
        <w:pStyle w:val="NoSpacing"/>
      </w:pPr>
      <w:r>
        <w:t xml:space="preserve">3. </w:t>
      </w:r>
      <w:r>
        <w:rPr>
          <w:rFonts w:eastAsia="MS Mincho"/>
        </w:rPr>
        <w:t>Pluralistic and shared religious rhetoric, by identity cue</w:t>
      </w:r>
      <w:r w:rsidR="00C7016E">
        <w:rPr>
          <w:rFonts w:eastAsia="MS Mincho"/>
        </w:rPr>
        <w:t xml:space="preserve"> (to accompany Figure 3.3)</w:t>
      </w:r>
    </w:p>
    <w:p w:rsidR="002B2AE6" w:rsidRDefault="002B2AE6" w:rsidP="0003775C">
      <w:pPr>
        <w:pStyle w:val="NoSpacing"/>
      </w:pPr>
      <w:r>
        <w:t xml:space="preserve">4. </w:t>
      </w:r>
      <w:r>
        <w:rPr>
          <w:rFonts w:eastAsia="MS Mincho"/>
        </w:rPr>
        <w:t>Culture wars rhetoric as a vehicle to convey a moral crisis</w:t>
      </w:r>
      <w:r w:rsidR="00E131C2">
        <w:rPr>
          <w:rFonts w:eastAsia="MS Mincho"/>
        </w:rPr>
        <w:t xml:space="preserve"> (to accompany Figure 3.4)</w:t>
      </w:r>
    </w:p>
    <w:p w:rsidR="0003775C" w:rsidRDefault="002B2AE6" w:rsidP="0003775C">
      <w:pPr>
        <w:pStyle w:val="NoSpacing"/>
      </w:pPr>
      <w:r>
        <w:t>5</w:t>
      </w:r>
      <w:r w:rsidR="0003775C">
        <w:t>. Civi</w:t>
      </w:r>
      <w:r w:rsidR="00C47EE8">
        <w:t xml:space="preserve">l religion and God-concept </w:t>
      </w:r>
    </w:p>
    <w:p w:rsidR="0003775C" w:rsidRDefault="0003775C">
      <w:r>
        <w:br w:type="page"/>
      </w:r>
    </w:p>
    <w:p w:rsidR="0003775C" w:rsidRDefault="0003775C" w:rsidP="0003775C">
      <w:pPr>
        <w:pStyle w:val="NoSpacing"/>
      </w:pPr>
    </w:p>
    <w:p w:rsidR="0003775C" w:rsidRPr="00004C86" w:rsidRDefault="0003775C" w:rsidP="0003775C">
      <w:pPr>
        <w:pStyle w:val="NoSpacing"/>
        <w:rPr>
          <w:b/>
          <w:u w:val="single"/>
        </w:rPr>
      </w:pPr>
      <w:r w:rsidRPr="00004C86">
        <w:rPr>
          <w:b/>
          <w:u w:val="single"/>
        </w:rPr>
        <w:t>1. Content analysis codebook for selected variables</w:t>
      </w:r>
    </w:p>
    <w:p w:rsidR="00004C86" w:rsidRDefault="00004C86" w:rsidP="0003775C">
      <w:pPr>
        <w:pStyle w:val="NoSpacing"/>
      </w:pPr>
    </w:p>
    <w:p w:rsidR="0003775C" w:rsidRDefault="0003775C" w:rsidP="0003775C">
      <w:pPr>
        <w:pStyle w:val="NoSpacing"/>
      </w:pPr>
      <w:r>
        <w:t>The following is an a</w:t>
      </w:r>
      <w:r w:rsidR="00FB04B6">
        <w:t>bridged version of the codebook used for all hand-coded variables in chapters 3</w:t>
      </w:r>
      <w:proofErr w:type="gramStart"/>
      <w:r w:rsidR="00FB04B6">
        <w:t>,4</w:t>
      </w:r>
      <w:proofErr w:type="gramEnd"/>
      <w:r w:rsidR="00FB04B6">
        <w:t>, and 5.</w:t>
      </w:r>
    </w:p>
    <w:p w:rsidR="00064326" w:rsidRDefault="00064326" w:rsidP="0003775C">
      <w:pPr>
        <w:pStyle w:val="NoSpacing"/>
      </w:pPr>
    </w:p>
    <w:p w:rsidR="0003775C" w:rsidRPr="00934919" w:rsidRDefault="0003775C" w:rsidP="0003775C">
      <w:pPr>
        <w:pStyle w:val="NoSpacing"/>
        <w:rPr>
          <w:b/>
        </w:rPr>
      </w:pPr>
      <w:r w:rsidRPr="00934919">
        <w:rPr>
          <w:b/>
        </w:rPr>
        <w:t>Group</w:t>
      </w:r>
    </w:p>
    <w:p w:rsidR="0003775C" w:rsidRDefault="0003775C" w:rsidP="0003775C">
      <w:pPr>
        <w:pStyle w:val="NoSpacing"/>
      </w:pPr>
      <w:r w:rsidRPr="00934919">
        <w:t xml:space="preserve">Does the passage make any attempt to </w:t>
      </w:r>
      <w:r>
        <w:t>establish a common</w:t>
      </w:r>
      <w:r w:rsidRPr="00934919">
        <w:t xml:space="preserve"> </w:t>
      </w:r>
      <w:proofErr w:type="spellStart"/>
      <w:r>
        <w:t>in</w:t>
      </w:r>
      <w:r w:rsidRPr="00934919">
        <w:t>group</w:t>
      </w:r>
      <w:proofErr w:type="spellEnd"/>
      <w:r w:rsidRPr="00934919">
        <w:t xml:space="preserve"> </w:t>
      </w:r>
      <w:r>
        <w:t>bond between the audience and the speaker?</w:t>
      </w:r>
      <w:r w:rsidRPr="00934919">
        <w:t xml:space="preserve"> </w:t>
      </w:r>
      <w:r>
        <w:t xml:space="preserve"> Speakers can accomplish this in several ways, both by explicitly mentioning a group, and through pronoun use.  For example, when McCain says “</w:t>
      </w:r>
      <w:r w:rsidRPr="002F46F5">
        <w:t>We are a great and generous country, and we believe that all men and women, everywhere, are created equal and end</w:t>
      </w:r>
      <w:r>
        <w:t xml:space="preserve">owed by God with certain rights” he is attempting to form an </w:t>
      </w:r>
      <w:proofErr w:type="spellStart"/>
      <w:r>
        <w:t>ingroup</w:t>
      </w:r>
      <w:proofErr w:type="spellEnd"/>
      <w:r>
        <w:t xml:space="preserve"> attachment with message recipients – by using “we” he is implying that “we” are all members of the same group.  However, when McCain says “</w:t>
      </w:r>
      <w:r w:rsidRPr="002F46F5">
        <w:t>And that is to use whatever talents I possess, and every resource God has granted me to protect the security of this great and good nation from a</w:t>
      </w:r>
      <w:r>
        <w:t xml:space="preserve">ll enemies foreign and domestic” no group bond is being formed (even though he obviously mentions country). </w:t>
      </w:r>
    </w:p>
    <w:p w:rsidR="00FB04B6" w:rsidRDefault="00FB04B6" w:rsidP="0003775C">
      <w:pPr>
        <w:pStyle w:val="NoSpacing"/>
      </w:pPr>
    </w:p>
    <w:p w:rsidR="00FB04B6" w:rsidRDefault="00FB04B6" w:rsidP="0003775C">
      <w:pPr>
        <w:pStyle w:val="NoSpacing"/>
      </w:pPr>
      <w:r>
        <w:t xml:space="preserve">0 – No </w:t>
      </w:r>
      <w:proofErr w:type="spellStart"/>
      <w:r>
        <w:t>ingroup</w:t>
      </w:r>
      <w:proofErr w:type="spellEnd"/>
      <w:r>
        <w:t xml:space="preserve"> reference</w:t>
      </w:r>
    </w:p>
    <w:p w:rsidR="00FB04B6" w:rsidRDefault="00FB04B6" w:rsidP="0003775C">
      <w:pPr>
        <w:pStyle w:val="NoSpacing"/>
      </w:pPr>
      <w:r>
        <w:t xml:space="preserve">1 – </w:t>
      </w:r>
      <w:proofErr w:type="spellStart"/>
      <w:r>
        <w:t>Ingroup</w:t>
      </w:r>
      <w:proofErr w:type="spellEnd"/>
      <w:r>
        <w:t xml:space="preserve"> reference</w:t>
      </w:r>
    </w:p>
    <w:p w:rsidR="0003775C" w:rsidRPr="00934919" w:rsidRDefault="0003775C" w:rsidP="0003775C">
      <w:pPr>
        <w:pStyle w:val="NoSpacing"/>
      </w:pPr>
    </w:p>
    <w:p w:rsidR="0003775C" w:rsidRPr="00934919" w:rsidRDefault="0003775C" w:rsidP="0003775C">
      <w:pPr>
        <w:pStyle w:val="NoSpacing"/>
        <w:rPr>
          <w:b/>
        </w:rPr>
      </w:pPr>
      <w:r w:rsidRPr="00934919">
        <w:rPr>
          <w:b/>
        </w:rPr>
        <w:t>Group Category</w:t>
      </w:r>
    </w:p>
    <w:p w:rsidR="0003775C" w:rsidRDefault="0003775C" w:rsidP="0003775C">
      <w:pPr>
        <w:pStyle w:val="NoSpacing"/>
      </w:pPr>
      <w:r w:rsidRPr="00934919">
        <w:t>Record the category of the group-based reference</w:t>
      </w:r>
      <w:r>
        <w:t>:</w:t>
      </w:r>
    </w:p>
    <w:p w:rsidR="0003775C" w:rsidRPr="00934919" w:rsidRDefault="0003775C" w:rsidP="0003775C">
      <w:pPr>
        <w:pStyle w:val="NoSpacing"/>
      </w:pPr>
    </w:p>
    <w:p w:rsidR="0003775C" w:rsidRPr="00934919" w:rsidRDefault="0003775C" w:rsidP="0003775C">
      <w:pPr>
        <w:pStyle w:val="NoSpacing"/>
      </w:pPr>
      <w:r w:rsidRPr="00934919">
        <w:t>1 – All Americans, the nation, etc.</w:t>
      </w:r>
    </w:p>
    <w:p w:rsidR="0003775C" w:rsidRPr="00934919" w:rsidRDefault="0003775C" w:rsidP="0003775C">
      <w:pPr>
        <w:pStyle w:val="NoSpacing"/>
      </w:pPr>
      <w:r w:rsidRPr="00934919">
        <w:t>2 – Christians or Judeo-Christian</w:t>
      </w:r>
    </w:p>
    <w:p w:rsidR="0003775C" w:rsidRPr="00934919" w:rsidRDefault="0003775C" w:rsidP="0003775C">
      <w:pPr>
        <w:pStyle w:val="NoSpacing"/>
      </w:pPr>
      <w:r w:rsidRPr="00934919">
        <w:t>3 – A specific religious denomination (i.e. Catholics)</w:t>
      </w:r>
    </w:p>
    <w:p w:rsidR="0003775C" w:rsidRPr="00934919" w:rsidRDefault="0003775C" w:rsidP="0003775C">
      <w:pPr>
        <w:pStyle w:val="NoSpacing"/>
      </w:pPr>
      <w:r w:rsidRPr="00934919">
        <w:t xml:space="preserve">4 – Some other religious group (people of faith, Moral Majority, Evangelicals) </w:t>
      </w:r>
    </w:p>
    <w:p w:rsidR="0003775C" w:rsidRPr="00934919" w:rsidRDefault="0003775C" w:rsidP="0003775C">
      <w:pPr>
        <w:pStyle w:val="NoSpacing"/>
      </w:pPr>
      <w:r w:rsidRPr="00934919">
        <w:t>5 – Party-based or political reference (Republicans, “followers of FDR”)</w:t>
      </w:r>
    </w:p>
    <w:p w:rsidR="0003775C" w:rsidRPr="00934919" w:rsidRDefault="0003775C" w:rsidP="0003775C">
      <w:pPr>
        <w:pStyle w:val="NoSpacing"/>
      </w:pPr>
      <w:r w:rsidRPr="00934919">
        <w:t>6 – Geographic (“the south,” or “people of Wisconsin” or “rural Americans”)</w:t>
      </w:r>
    </w:p>
    <w:p w:rsidR="0003775C" w:rsidRPr="00934919" w:rsidRDefault="0003775C" w:rsidP="0003775C">
      <w:pPr>
        <w:pStyle w:val="NoSpacing"/>
      </w:pPr>
      <w:r w:rsidRPr="00934919">
        <w:t>7 – Unspecified/audience (Often will involve the word “we” or “you” or “our” without specifying to whom the pronoun refers.  For example, in 1992, Clinton said “Frankly, I'm fed up with politicians in Washington lecturing the rest of us about "family values." Our families have values.” The personal pronoun in this passage could conceivably be distinguishing the group as all Americans or all Democrats.  However, it is not explicit, so it is coded 7. Note that this is different than simply saying “I hope you choose me…” It must convey some common identity.</w:t>
      </w:r>
    </w:p>
    <w:p w:rsidR="0003775C" w:rsidRPr="00934919" w:rsidRDefault="0003775C" w:rsidP="0003775C">
      <w:pPr>
        <w:pStyle w:val="NoSpacing"/>
      </w:pPr>
      <w:r w:rsidRPr="00934919">
        <w:t>8 – Other (record)</w:t>
      </w:r>
    </w:p>
    <w:p w:rsidR="0003775C" w:rsidRDefault="0003775C" w:rsidP="0003775C">
      <w:pPr>
        <w:pStyle w:val="NoSpacing"/>
      </w:pPr>
    </w:p>
    <w:p w:rsidR="00064326" w:rsidRDefault="00064326" w:rsidP="00064326">
      <w:pPr>
        <w:pStyle w:val="NoSpacing"/>
        <w:rPr>
          <w:b/>
        </w:rPr>
      </w:pPr>
      <w:r>
        <w:rPr>
          <w:b/>
        </w:rPr>
        <w:t>Civil religion</w:t>
      </w:r>
    </w:p>
    <w:p w:rsidR="00064326" w:rsidRDefault="00064326" w:rsidP="00064326">
      <w:pPr>
        <w:pStyle w:val="NoSpacing"/>
      </w:pPr>
      <w:r>
        <w:t>The civil religion identity variable featured throughout the text is a summary measure of “group category,” combining both “category 1” (American) with “</w:t>
      </w:r>
      <w:proofErr w:type="gramStart"/>
      <w:r>
        <w:t>category</w:t>
      </w:r>
      <w:proofErr w:type="gramEnd"/>
      <w:r>
        <w:t xml:space="preserve"> 7” (unspecified audience).  </w:t>
      </w:r>
    </w:p>
    <w:p w:rsidR="00064326" w:rsidRPr="00934919" w:rsidRDefault="00064326" w:rsidP="0003775C">
      <w:pPr>
        <w:pStyle w:val="NoSpacing"/>
      </w:pPr>
    </w:p>
    <w:p w:rsidR="0003775C" w:rsidRPr="00934919" w:rsidRDefault="0003775C" w:rsidP="0003775C">
      <w:pPr>
        <w:pStyle w:val="NoSpacing"/>
        <w:rPr>
          <w:b/>
        </w:rPr>
      </w:pPr>
      <w:proofErr w:type="spellStart"/>
      <w:r w:rsidRPr="00934919">
        <w:rPr>
          <w:b/>
        </w:rPr>
        <w:t>Outgroup</w:t>
      </w:r>
      <w:proofErr w:type="spellEnd"/>
    </w:p>
    <w:p w:rsidR="0003775C" w:rsidRPr="00934919" w:rsidRDefault="0003775C" w:rsidP="0003775C">
      <w:pPr>
        <w:pStyle w:val="NoSpacing"/>
      </w:pPr>
      <w:r w:rsidRPr="00934919">
        <w:t>Does the passage mention an “</w:t>
      </w:r>
      <w:proofErr w:type="spellStart"/>
      <w:r w:rsidRPr="00934919">
        <w:t>outgroup</w:t>
      </w:r>
      <w:proofErr w:type="spellEnd"/>
      <w:r w:rsidRPr="00934919">
        <w:t>,” or some sort of opposition or challenge? There must be some attempt made at contrast or “</w:t>
      </w:r>
      <w:proofErr w:type="spellStart"/>
      <w:r w:rsidRPr="00934919">
        <w:t>othering</w:t>
      </w:r>
      <w:proofErr w:type="spellEnd"/>
      <w:r w:rsidRPr="00934919">
        <w:t xml:space="preserve">.” The speaker is getting closer to the audience by identification of a common </w:t>
      </w:r>
      <w:proofErr w:type="spellStart"/>
      <w:r w:rsidRPr="00934919">
        <w:t>outgroup</w:t>
      </w:r>
      <w:proofErr w:type="spellEnd"/>
      <w:r w:rsidRPr="00934919">
        <w:t>.</w:t>
      </w:r>
    </w:p>
    <w:p w:rsidR="0003775C" w:rsidRPr="00934919" w:rsidRDefault="0003775C" w:rsidP="0003775C">
      <w:pPr>
        <w:pStyle w:val="NoSpacing"/>
      </w:pPr>
    </w:p>
    <w:p w:rsidR="0003775C" w:rsidRPr="00934919" w:rsidRDefault="0003775C" w:rsidP="0003775C">
      <w:pPr>
        <w:pStyle w:val="NoSpacing"/>
        <w:rPr>
          <w:b/>
        </w:rPr>
      </w:pPr>
      <w:proofErr w:type="spellStart"/>
      <w:r w:rsidRPr="00934919">
        <w:rPr>
          <w:b/>
        </w:rPr>
        <w:t>Outgroup</w:t>
      </w:r>
      <w:proofErr w:type="spellEnd"/>
      <w:r w:rsidRPr="00934919">
        <w:rPr>
          <w:b/>
        </w:rPr>
        <w:t xml:space="preserve"> category</w:t>
      </w:r>
    </w:p>
    <w:p w:rsidR="0003775C" w:rsidRPr="00934919" w:rsidRDefault="0003775C" w:rsidP="0003775C">
      <w:pPr>
        <w:pStyle w:val="NoSpacing"/>
      </w:pPr>
      <w:r>
        <w:t xml:space="preserve">Record the category of the </w:t>
      </w:r>
      <w:proofErr w:type="spellStart"/>
      <w:r>
        <w:t>outgroup</w:t>
      </w:r>
      <w:proofErr w:type="spellEnd"/>
      <w:r>
        <w:t xml:space="preserve"> reference.</w:t>
      </w:r>
    </w:p>
    <w:p w:rsidR="0003775C" w:rsidRPr="00934919" w:rsidRDefault="0003775C" w:rsidP="0003775C">
      <w:pPr>
        <w:pStyle w:val="NoSpacing"/>
      </w:pPr>
    </w:p>
    <w:p w:rsidR="0003775C" w:rsidRPr="00934919" w:rsidRDefault="0003775C" w:rsidP="0003775C">
      <w:pPr>
        <w:pStyle w:val="NoSpacing"/>
      </w:pPr>
      <w:r w:rsidRPr="00934919">
        <w:t xml:space="preserve">1 </w:t>
      </w:r>
      <w:proofErr w:type="gramStart"/>
      <w:r w:rsidRPr="00934919">
        <w:t>–  Another</w:t>
      </w:r>
      <w:proofErr w:type="gramEnd"/>
      <w:r w:rsidRPr="00934919">
        <w:t xml:space="preserve"> nation or foreign group, such as terrorists, the Soviet Union, etc.</w:t>
      </w:r>
    </w:p>
    <w:p w:rsidR="0003775C" w:rsidRPr="00934919" w:rsidRDefault="0003775C" w:rsidP="0003775C">
      <w:pPr>
        <w:pStyle w:val="NoSpacing"/>
      </w:pPr>
      <w:r w:rsidRPr="00934919">
        <w:t xml:space="preserve">2 </w:t>
      </w:r>
      <w:proofErr w:type="gramStart"/>
      <w:r w:rsidRPr="00934919">
        <w:t>–  A</w:t>
      </w:r>
      <w:proofErr w:type="gramEnd"/>
      <w:r w:rsidRPr="00934919">
        <w:t xml:space="preserve"> religious denomination</w:t>
      </w:r>
    </w:p>
    <w:p w:rsidR="0003775C" w:rsidRPr="00934919" w:rsidRDefault="0003775C" w:rsidP="0003775C">
      <w:pPr>
        <w:pStyle w:val="NoSpacing"/>
      </w:pPr>
      <w:r w:rsidRPr="00934919">
        <w:t xml:space="preserve">3 </w:t>
      </w:r>
      <w:proofErr w:type="gramStart"/>
      <w:r w:rsidRPr="00934919">
        <w:t>–  Some</w:t>
      </w:r>
      <w:proofErr w:type="gramEnd"/>
      <w:r w:rsidRPr="00934919">
        <w:t xml:space="preserve"> other religious group</w:t>
      </w:r>
    </w:p>
    <w:p w:rsidR="0003775C" w:rsidRPr="00934919" w:rsidRDefault="0003775C" w:rsidP="0003775C">
      <w:pPr>
        <w:pStyle w:val="NoSpacing"/>
      </w:pPr>
      <w:r w:rsidRPr="00934919">
        <w:t xml:space="preserve">4 – Party-based or political reference </w:t>
      </w:r>
    </w:p>
    <w:p w:rsidR="0003775C" w:rsidRPr="00934919" w:rsidRDefault="0003775C" w:rsidP="0003775C">
      <w:pPr>
        <w:pStyle w:val="NoSpacing"/>
      </w:pPr>
      <w:r w:rsidRPr="00934919">
        <w:t>5 – Hollywood or the media</w:t>
      </w:r>
    </w:p>
    <w:p w:rsidR="0003775C" w:rsidRPr="00934919" w:rsidRDefault="0003775C" w:rsidP="0003775C">
      <w:pPr>
        <w:pStyle w:val="NoSpacing"/>
      </w:pPr>
      <w:r w:rsidRPr="00934919">
        <w:t>6 – Geographic</w:t>
      </w:r>
    </w:p>
    <w:p w:rsidR="0003775C" w:rsidRPr="00934919" w:rsidRDefault="0003775C" w:rsidP="0003775C">
      <w:pPr>
        <w:pStyle w:val="NoSpacing"/>
      </w:pPr>
      <w:r w:rsidRPr="00934919">
        <w:t xml:space="preserve">7 – </w:t>
      </w:r>
      <w:proofErr w:type="gramStart"/>
      <w:r w:rsidRPr="00934919">
        <w:t>government</w:t>
      </w:r>
      <w:proofErr w:type="gramEnd"/>
      <w:r w:rsidRPr="00934919">
        <w:t xml:space="preserve">, Washington, judges, Congress, Supreme Court etc. </w:t>
      </w:r>
    </w:p>
    <w:p w:rsidR="0003775C" w:rsidRPr="00934919" w:rsidRDefault="0003775C" w:rsidP="0003775C">
      <w:pPr>
        <w:pStyle w:val="NoSpacing"/>
      </w:pPr>
      <w:r w:rsidRPr="00934919">
        <w:t>8 – Unspecified</w:t>
      </w:r>
    </w:p>
    <w:p w:rsidR="0003775C" w:rsidRPr="00934919" w:rsidRDefault="0003775C" w:rsidP="0003775C">
      <w:pPr>
        <w:pStyle w:val="NoSpacing"/>
      </w:pPr>
      <w:r w:rsidRPr="00934919">
        <w:t>9 – Other (record)</w:t>
      </w:r>
    </w:p>
    <w:p w:rsidR="0003775C" w:rsidRDefault="0003775C" w:rsidP="0003775C">
      <w:pPr>
        <w:pStyle w:val="NoSpacing"/>
      </w:pPr>
    </w:p>
    <w:p w:rsidR="0003775C" w:rsidRPr="005418AD" w:rsidRDefault="0003775C" w:rsidP="0003775C">
      <w:pPr>
        <w:pStyle w:val="NoSpacing"/>
        <w:rPr>
          <w:b/>
        </w:rPr>
      </w:pPr>
      <w:r>
        <w:rPr>
          <w:b/>
        </w:rPr>
        <w:t>Culture Wars</w:t>
      </w:r>
    </w:p>
    <w:p w:rsidR="0003775C" w:rsidRDefault="0003775C" w:rsidP="0003775C">
      <w:pPr>
        <w:pStyle w:val="NoSpacing"/>
      </w:pPr>
      <w:r>
        <w:t xml:space="preserve">Is the mention of </w:t>
      </w:r>
      <w:proofErr w:type="gramStart"/>
      <w:r>
        <w:t xml:space="preserve">the </w:t>
      </w:r>
      <w:proofErr w:type="spellStart"/>
      <w:r>
        <w:t>outgroup</w:t>
      </w:r>
      <w:proofErr w:type="spellEnd"/>
      <w:proofErr w:type="gramEnd"/>
      <w:r>
        <w:t xml:space="preserve"> explicitly linked to two divergent paths, two irreconcilable sides, or the like, </w:t>
      </w:r>
      <w:r w:rsidRPr="005418AD">
        <w:rPr>
          <w:u w:val="single"/>
        </w:rPr>
        <w:t>in American politics</w:t>
      </w:r>
      <w:r>
        <w:t xml:space="preserve">?  </w:t>
      </w:r>
    </w:p>
    <w:p w:rsidR="0003775C" w:rsidRDefault="0003775C" w:rsidP="0003775C">
      <w:pPr>
        <w:pStyle w:val="NoSpacing"/>
      </w:pPr>
      <w:r>
        <w:t xml:space="preserve">0 – No, either the </w:t>
      </w:r>
      <w:proofErr w:type="spellStart"/>
      <w:r>
        <w:t>outgroup</w:t>
      </w:r>
      <w:proofErr w:type="spellEnd"/>
      <w:r>
        <w:t xml:space="preserve"> is another country, or the </w:t>
      </w:r>
      <w:proofErr w:type="spellStart"/>
      <w:r>
        <w:t>outgroup</w:t>
      </w:r>
      <w:proofErr w:type="spellEnd"/>
      <w:r>
        <w:t xml:space="preserve"> is not mentioned in terms in the context of any sort of underlying conflict in America</w:t>
      </w:r>
    </w:p>
    <w:p w:rsidR="0003775C" w:rsidRDefault="0003775C" w:rsidP="0003775C">
      <w:pPr>
        <w:pStyle w:val="NoSpacing"/>
      </w:pPr>
      <w:r>
        <w:t>1 – Passage makes reference to conflict, though not explicitly tied to quasi-religious worldviews or competing value systems.  For example, “the other party put their faith in big government”</w:t>
      </w:r>
    </w:p>
    <w:p w:rsidR="0003775C" w:rsidRDefault="0003775C" w:rsidP="0003775C">
      <w:pPr>
        <w:pStyle w:val="NoSpacing"/>
      </w:pPr>
      <w:r>
        <w:t>2 – Passage makes reference to conflict, and explicitly tied to quasi-religious worldviews or competing value systems.  For example, “the other party doesn’t believe faith has a role in politics”</w:t>
      </w:r>
    </w:p>
    <w:p w:rsidR="0003775C" w:rsidRDefault="0003775C" w:rsidP="0003775C">
      <w:pPr>
        <w:pStyle w:val="NoSpacing"/>
      </w:pPr>
    </w:p>
    <w:p w:rsidR="0003775C" w:rsidRPr="00934919" w:rsidRDefault="0003775C" w:rsidP="0003775C">
      <w:pPr>
        <w:pStyle w:val="NoSpacing"/>
      </w:pPr>
      <w:proofErr w:type="gramStart"/>
      <w:r w:rsidRPr="00934919">
        <w:rPr>
          <w:b/>
        </w:rPr>
        <w:t>God-concept (only for passages using the word “God,” “Lord,” “Almighty,” etc.)</w:t>
      </w:r>
      <w:proofErr w:type="gramEnd"/>
      <w:r w:rsidRPr="00934919">
        <w:rPr>
          <w:b/>
        </w:rPr>
        <w:t xml:space="preserve"> </w:t>
      </w:r>
    </w:p>
    <w:p w:rsidR="0003775C" w:rsidRPr="00934919" w:rsidRDefault="0003775C" w:rsidP="0003775C">
      <w:pPr>
        <w:pStyle w:val="NoSpacing"/>
      </w:pPr>
      <w:r w:rsidRPr="00934919">
        <w:t>Which of the following categories best characterizes the imagery with which God is depicted?</w:t>
      </w:r>
    </w:p>
    <w:p w:rsidR="0003775C" w:rsidRPr="00934919" w:rsidRDefault="0003775C" w:rsidP="0003775C">
      <w:pPr>
        <w:pStyle w:val="NoSpacing"/>
        <w:rPr>
          <w:b/>
        </w:rPr>
      </w:pPr>
    </w:p>
    <w:p w:rsidR="0003775C" w:rsidRPr="00934919" w:rsidRDefault="0003775C" w:rsidP="0003775C">
      <w:pPr>
        <w:pStyle w:val="NoSpacing"/>
      </w:pPr>
      <w:r w:rsidRPr="00934919">
        <w:t>0 = God not discussed</w:t>
      </w:r>
    </w:p>
    <w:p w:rsidR="0003775C" w:rsidRPr="00934919" w:rsidRDefault="0003775C" w:rsidP="0003775C">
      <w:pPr>
        <w:pStyle w:val="NoSpacing"/>
      </w:pPr>
      <w:r w:rsidRPr="00934919">
        <w:t>1 = Judge-like imagery (judge, strict, master)</w:t>
      </w:r>
    </w:p>
    <w:p w:rsidR="0003775C" w:rsidRPr="00934919" w:rsidRDefault="0003775C" w:rsidP="0003775C">
      <w:pPr>
        <w:pStyle w:val="NoSpacing"/>
      </w:pPr>
      <w:r w:rsidRPr="00934919">
        <w:t>2 = Savior (dependable, faithful, forgiving, trusting)</w:t>
      </w:r>
    </w:p>
    <w:p w:rsidR="0003775C" w:rsidRPr="00934919" w:rsidRDefault="0003775C" w:rsidP="0003775C">
      <w:pPr>
        <w:pStyle w:val="NoSpacing"/>
      </w:pPr>
      <w:r w:rsidRPr="00934919">
        <w:t>3 = Maternal imagery (</w:t>
      </w:r>
      <w:r>
        <w:t xml:space="preserve">loving, </w:t>
      </w:r>
      <w:r w:rsidRPr="00934919">
        <w:t>nurturing, warmth)</w:t>
      </w:r>
    </w:p>
    <w:p w:rsidR="0003775C" w:rsidRPr="00934919" w:rsidRDefault="0003775C" w:rsidP="0003775C">
      <w:pPr>
        <w:pStyle w:val="NoSpacing"/>
      </w:pPr>
      <w:r w:rsidRPr="00934919">
        <w:t>4 = Paternal imagery (creator, protector, redeemer, father, under God’s watchful eye)</w:t>
      </w:r>
    </w:p>
    <w:p w:rsidR="0003775C" w:rsidRPr="00934919" w:rsidRDefault="0003775C" w:rsidP="0003775C">
      <w:pPr>
        <w:pStyle w:val="NoSpacing"/>
      </w:pPr>
      <w:r w:rsidRPr="00934919">
        <w:t>5 = Companion (companion, friend, always close, God in heart)</w:t>
      </w:r>
    </w:p>
    <w:p w:rsidR="0003775C" w:rsidRPr="00934919" w:rsidRDefault="0003775C" w:rsidP="0003775C">
      <w:pPr>
        <w:pStyle w:val="NoSpacing"/>
      </w:pPr>
      <w:r w:rsidRPr="00934919">
        <w:t>6 = Provider (God-given resources, God’s gift, God’s help)</w:t>
      </w:r>
    </w:p>
    <w:p w:rsidR="0003775C" w:rsidRPr="00934919" w:rsidRDefault="0003775C" w:rsidP="0003775C">
      <w:pPr>
        <w:pStyle w:val="NoSpacing"/>
      </w:pPr>
      <w:r w:rsidRPr="00934919">
        <w:t>7 = No imagery (God bless you, thank God)</w:t>
      </w:r>
    </w:p>
    <w:p w:rsidR="0003775C" w:rsidRDefault="0003775C" w:rsidP="0003775C">
      <w:pPr>
        <w:pStyle w:val="NoSpacing"/>
      </w:pPr>
    </w:p>
    <w:p w:rsidR="0003775C" w:rsidRPr="00934919" w:rsidRDefault="0003775C" w:rsidP="0003775C">
      <w:pPr>
        <w:pStyle w:val="NoSpacing"/>
      </w:pPr>
      <w:r w:rsidRPr="00934919">
        <w:rPr>
          <w:b/>
        </w:rPr>
        <w:t>Crisis</w:t>
      </w:r>
      <w:r w:rsidRPr="00934919">
        <w:t xml:space="preserve"> </w:t>
      </w:r>
    </w:p>
    <w:p w:rsidR="0003775C" w:rsidRPr="00934919" w:rsidRDefault="0003775C" w:rsidP="0003775C">
      <w:pPr>
        <w:pStyle w:val="NoSpacing"/>
      </w:pPr>
      <w:r w:rsidRPr="00934919">
        <w:t>Does the passage refer to some impending crisis?</w:t>
      </w:r>
    </w:p>
    <w:p w:rsidR="0003775C" w:rsidRPr="00934919" w:rsidRDefault="0003775C" w:rsidP="0003775C">
      <w:pPr>
        <w:pStyle w:val="NoSpacing"/>
      </w:pPr>
    </w:p>
    <w:p w:rsidR="0003775C" w:rsidRPr="00934919" w:rsidRDefault="0003775C" w:rsidP="0003775C">
      <w:pPr>
        <w:pStyle w:val="NoSpacing"/>
      </w:pPr>
      <w:r w:rsidRPr="00934919">
        <w:t>Some suggestion of crisis = 1</w:t>
      </w:r>
    </w:p>
    <w:p w:rsidR="0003775C" w:rsidRPr="00934919" w:rsidRDefault="0003775C" w:rsidP="0003775C">
      <w:pPr>
        <w:pStyle w:val="NoSpacing"/>
      </w:pPr>
      <w:r w:rsidRPr="00934919">
        <w:t>AND this crisis is imminent = 2</w:t>
      </w:r>
    </w:p>
    <w:p w:rsidR="0003775C" w:rsidRPr="00934919" w:rsidRDefault="0003775C" w:rsidP="0003775C">
      <w:pPr>
        <w:pStyle w:val="NoSpacing"/>
      </w:pPr>
      <w:r w:rsidRPr="00934919">
        <w:t>No crisis = 0</w:t>
      </w:r>
    </w:p>
    <w:p w:rsidR="0003775C" w:rsidRDefault="0003775C" w:rsidP="0003775C">
      <w:pPr>
        <w:pStyle w:val="NoSpacing"/>
      </w:pPr>
    </w:p>
    <w:p w:rsidR="0003775C" w:rsidRPr="00934919" w:rsidRDefault="0003775C" w:rsidP="0003775C">
      <w:pPr>
        <w:pStyle w:val="NoSpacing"/>
      </w:pPr>
      <w:r w:rsidRPr="00934919">
        <w:rPr>
          <w:b/>
        </w:rPr>
        <w:t>Shared or pluralistic religion</w:t>
      </w:r>
    </w:p>
    <w:p w:rsidR="0003775C" w:rsidRPr="00934919" w:rsidRDefault="0003775C" w:rsidP="0003775C">
      <w:pPr>
        <w:pStyle w:val="NoSpacing"/>
      </w:pPr>
      <w:proofErr w:type="gramStart"/>
      <w:r w:rsidRPr="00934919">
        <w:t xml:space="preserve">This category is related to the </w:t>
      </w:r>
      <w:proofErr w:type="spellStart"/>
      <w:r w:rsidRPr="00934919">
        <w:t>in</w:t>
      </w:r>
      <w:r>
        <w:t>group</w:t>
      </w:r>
      <w:proofErr w:type="spellEnd"/>
      <w:r>
        <w:t>/</w:t>
      </w:r>
      <w:proofErr w:type="spellStart"/>
      <w:r>
        <w:t>outgroup</w:t>
      </w:r>
      <w:proofErr w:type="spellEnd"/>
      <w:proofErr w:type="gramEnd"/>
      <w:r>
        <w:t xml:space="preserve"> distinction</w:t>
      </w:r>
      <w:r w:rsidRPr="00934919">
        <w:t>.  Does the passage imply a common or shared religion or God in America, or discus</w:t>
      </w:r>
      <w:r>
        <w:t>s religion in a way that is</w:t>
      </w:r>
      <w:r w:rsidRPr="00934919">
        <w:t xml:space="preserve"> pluralistic and/or relative</w:t>
      </w:r>
      <w:r>
        <w:t xml:space="preserve"> and/or personal</w:t>
      </w:r>
      <w:r w:rsidRPr="00934919">
        <w:t>.  For example, a statement about “many faith traditions in America” or “her God” would both be coded a</w:t>
      </w:r>
      <w:r>
        <w:t>s pluralistic.  A statement such as</w:t>
      </w:r>
      <w:r w:rsidRPr="00934919">
        <w:t xml:space="preserve"> “God, family, and country have brought us together” implies a shared religion, even though it is not explicit. Please use some interpretive license here – </w:t>
      </w:r>
      <w:proofErr w:type="gramStart"/>
      <w:r w:rsidRPr="00934919">
        <w:t>even a statement like</w:t>
      </w:r>
      <w:proofErr w:type="gramEnd"/>
      <w:r w:rsidRPr="00934919">
        <w:t xml:space="preserve"> “God bless the U.S.A.” or “rural America, you are doing the Lord’s work” seems to </w:t>
      </w:r>
      <w:r w:rsidRPr="00934919">
        <w:lastRenderedPageBreak/>
        <w:t>suggest a shared religion or a shared set of moral precepts. As a further example, consider these two Clinton statements:</w:t>
      </w:r>
    </w:p>
    <w:p w:rsidR="0003775C" w:rsidRPr="00934919" w:rsidRDefault="0003775C" w:rsidP="0003775C">
      <w:pPr>
        <w:pStyle w:val="NoSpacing"/>
      </w:pPr>
    </w:p>
    <w:p w:rsidR="0003775C" w:rsidRPr="00934919" w:rsidRDefault="0003775C" w:rsidP="0003775C">
      <w:pPr>
        <w:pStyle w:val="NoSpacing"/>
      </w:pPr>
      <w:r w:rsidRPr="00934919">
        <w:t>“I want to build a bridge to the twenty-first century in which we create a strong and growing economy, to preserve the legacy of opportunity for the next generation by balancing our budget in a way that protects our values, and ensuring that every family will be able to own and protect the value of their most important asset, their home.”</w:t>
      </w:r>
    </w:p>
    <w:p w:rsidR="0003775C" w:rsidRPr="00934919" w:rsidRDefault="0003775C" w:rsidP="0003775C">
      <w:pPr>
        <w:pStyle w:val="NoSpacing"/>
      </w:pPr>
    </w:p>
    <w:p w:rsidR="0003775C" w:rsidRPr="00934919" w:rsidRDefault="0003775C" w:rsidP="0003775C">
      <w:pPr>
        <w:pStyle w:val="NoSpacing"/>
      </w:pPr>
      <w:r w:rsidRPr="00934919">
        <w:t>“And, finally, let me say the most important thing and the reason I'm here today is that we've got to build a bridge to the twenty-first century that everyone can walk across to a century where everybody who is responsible and willing to work has a chance to live their own version of the American Dream and live up to their God-given capacities.”</w:t>
      </w:r>
    </w:p>
    <w:p w:rsidR="0003775C" w:rsidRPr="00934919" w:rsidRDefault="0003775C" w:rsidP="0003775C">
      <w:pPr>
        <w:pStyle w:val="NoSpacing"/>
        <w:rPr>
          <w:b/>
        </w:rPr>
      </w:pPr>
    </w:p>
    <w:p w:rsidR="0003775C" w:rsidRPr="00934919" w:rsidRDefault="0003775C" w:rsidP="0003775C">
      <w:pPr>
        <w:pStyle w:val="NoSpacing"/>
      </w:pPr>
      <w:r w:rsidRPr="00934919">
        <w:t>Both statements are part of Clinton’s “building a bridge” speech, but the former suggests “shared religion” and the latter a more “pluralistic” conception. (The latter is quite interesting – I rarely saw examples of patriotism coupled with pluralism).</w:t>
      </w:r>
    </w:p>
    <w:p w:rsidR="0003775C" w:rsidRPr="00934919" w:rsidRDefault="0003775C" w:rsidP="0003775C">
      <w:pPr>
        <w:pStyle w:val="NoSpacing"/>
      </w:pPr>
    </w:p>
    <w:p w:rsidR="0003775C" w:rsidRPr="00934919" w:rsidRDefault="0003775C" w:rsidP="0003775C">
      <w:pPr>
        <w:pStyle w:val="NoSpacing"/>
      </w:pPr>
      <w:r w:rsidRPr="00934919">
        <w:t>Also note that just simply mentioning more than one religion (i.e. “Christians and Jews” or “churches and synagogues”) doesn’t necessarily imply pluralism.  For example, a statement might read “we need to get back to the faith found in our churches and our synagogues.” This is clearly a conception of shared faith, promoting American religion generally in contrast to “secularism.”</w:t>
      </w:r>
    </w:p>
    <w:p w:rsidR="0003775C" w:rsidRDefault="0003775C" w:rsidP="0003775C">
      <w:pPr>
        <w:pStyle w:val="NoSpacing"/>
      </w:pPr>
    </w:p>
    <w:p w:rsidR="0003775C" w:rsidRPr="00934919" w:rsidRDefault="0003775C" w:rsidP="0003775C">
      <w:pPr>
        <w:pStyle w:val="NoSpacing"/>
      </w:pPr>
      <w:r>
        <w:t>0 = unclear/neither</w:t>
      </w:r>
    </w:p>
    <w:p w:rsidR="0003775C" w:rsidRPr="00934919" w:rsidRDefault="0003775C" w:rsidP="0003775C">
      <w:pPr>
        <w:pStyle w:val="NoSpacing"/>
      </w:pPr>
      <w:r w:rsidRPr="00934919">
        <w:t>1 = pluralistic</w:t>
      </w:r>
    </w:p>
    <w:p w:rsidR="0003775C" w:rsidRPr="00934919" w:rsidRDefault="0003775C" w:rsidP="0003775C">
      <w:pPr>
        <w:pStyle w:val="NoSpacing"/>
      </w:pPr>
      <w:r w:rsidRPr="00934919">
        <w:t>2 = shared</w:t>
      </w:r>
    </w:p>
    <w:p w:rsidR="0003775C" w:rsidRDefault="0003775C" w:rsidP="0003775C">
      <w:pPr>
        <w:pStyle w:val="NoSpacing"/>
      </w:pPr>
    </w:p>
    <w:p w:rsidR="0003775C" w:rsidRPr="00934919" w:rsidRDefault="0003775C" w:rsidP="0003775C">
      <w:pPr>
        <w:pStyle w:val="NoSpacing"/>
        <w:rPr>
          <w:b/>
        </w:rPr>
      </w:pPr>
      <w:r w:rsidRPr="00934919">
        <w:rPr>
          <w:b/>
        </w:rPr>
        <w:t xml:space="preserve">Blessed nation </w:t>
      </w:r>
    </w:p>
    <w:p w:rsidR="0003775C" w:rsidRPr="00934919" w:rsidRDefault="0003775C" w:rsidP="0003775C">
      <w:pPr>
        <w:pStyle w:val="NoSpacing"/>
        <w:rPr>
          <w:b/>
        </w:rPr>
      </w:pPr>
    </w:p>
    <w:p w:rsidR="0003775C" w:rsidRPr="00934919" w:rsidRDefault="0003775C" w:rsidP="0003775C">
      <w:pPr>
        <w:pStyle w:val="NoSpacing"/>
      </w:pPr>
      <w:r w:rsidRPr="00934919">
        <w:t>Does the passage accord the United States a blessed nation status?  Distinguish between an explicit reference to the US as a “city on a hill,” or Americans as a “chosen people,” or a reference to country without explicitly saying the US is “special” in the “eyes of God.”</w:t>
      </w:r>
    </w:p>
    <w:p w:rsidR="0003775C" w:rsidRPr="00934919" w:rsidRDefault="0003775C" w:rsidP="0003775C">
      <w:pPr>
        <w:pStyle w:val="NoSpacing"/>
      </w:pPr>
    </w:p>
    <w:p w:rsidR="0003775C" w:rsidRPr="00934919" w:rsidRDefault="0003775C" w:rsidP="0003775C">
      <w:pPr>
        <w:pStyle w:val="NoSpacing"/>
      </w:pPr>
      <w:r w:rsidRPr="00934919">
        <w:t xml:space="preserve">0 = No mention of country </w:t>
      </w:r>
    </w:p>
    <w:p w:rsidR="0003775C" w:rsidRPr="00934919" w:rsidRDefault="0003775C" w:rsidP="0003775C">
      <w:pPr>
        <w:pStyle w:val="NoSpacing"/>
      </w:pPr>
      <w:r w:rsidRPr="00934919">
        <w:t>1 = Links religion and country w/o favored nation status.  Code it “1” even if religion is only linked with country in a very vague sense.  For example, “The strength of America lies in the hearts and souls of our citizens” connects religion and country in a very vague sense. A statement like “A</w:t>
      </w:r>
      <w:r>
        <w:t xml:space="preserve">merican values” does the same. </w:t>
      </w:r>
    </w:p>
    <w:p w:rsidR="0003775C" w:rsidRPr="00934919" w:rsidRDefault="0003775C" w:rsidP="0003775C">
      <w:pPr>
        <w:pStyle w:val="NoSpacing"/>
      </w:pPr>
      <w:r w:rsidRPr="00934919">
        <w:t>2 = Accords US a special status. Statements are only coded “2” if the passage explicitly says America is somehow blessed.  For example, “God is looking out for the souls of Americans”</w:t>
      </w:r>
    </w:p>
    <w:p w:rsidR="0003775C" w:rsidRDefault="0003775C" w:rsidP="0003775C">
      <w:pPr>
        <w:pStyle w:val="NoSpacing"/>
        <w:rPr>
          <w:b/>
        </w:rPr>
      </w:pPr>
    </w:p>
    <w:p w:rsidR="00004C86" w:rsidRDefault="00004C86">
      <w:pPr>
        <w:rPr>
          <w:b/>
        </w:rPr>
      </w:pPr>
      <w:r>
        <w:rPr>
          <w:b/>
        </w:rPr>
        <w:br w:type="page"/>
      </w:r>
    </w:p>
    <w:p w:rsidR="00004C86" w:rsidRDefault="00004C86" w:rsidP="00004C86">
      <w:pPr>
        <w:pStyle w:val="NoSpacing"/>
        <w:rPr>
          <w:b/>
          <w:u w:val="single"/>
        </w:rPr>
      </w:pPr>
      <w:r w:rsidRPr="00004C86">
        <w:rPr>
          <w:b/>
          <w:u w:val="single"/>
        </w:rPr>
        <w:lastRenderedPageBreak/>
        <w:t>2. Content analysis reliability information</w:t>
      </w:r>
    </w:p>
    <w:p w:rsidR="00004C86" w:rsidRPr="00004C86" w:rsidRDefault="00004C86" w:rsidP="00004C86">
      <w:pPr>
        <w:pStyle w:val="NoSpacing"/>
        <w:rPr>
          <w:b/>
          <w:u w:val="single"/>
        </w:rPr>
      </w:pPr>
    </w:p>
    <w:p w:rsidR="00004C86" w:rsidRDefault="00004C86" w:rsidP="00004C86">
      <w:pPr>
        <w:pStyle w:val="NoSpacing"/>
      </w:pPr>
      <w:r w:rsidRPr="00D14DD6">
        <w:t>In order to assess the character of candidate</w:t>
      </w:r>
      <w:r>
        <w:t xml:space="preserve">s’ use of religious rhetoric, I </w:t>
      </w:r>
      <w:r w:rsidRPr="00D14DD6">
        <w:t>“hand</w:t>
      </w:r>
      <w:r>
        <w:t xml:space="preserve"> </w:t>
      </w:r>
      <w:r w:rsidRPr="00D14DD6">
        <w:t>coded” 48 variables of theoretic interest</w:t>
      </w:r>
      <w:r>
        <w:t xml:space="preserve"> in the summer of 2006</w:t>
      </w:r>
      <w:r w:rsidRPr="00D14DD6">
        <w:t xml:space="preserve">. </w:t>
      </w:r>
      <w:r w:rsidRPr="00561BEE">
        <w:t>Seve</w:t>
      </w:r>
      <w:r>
        <w:t>ral</w:t>
      </w:r>
      <w:r w:rsidRPr="00561BEE">
        <w:t xml:space="preserve"> </w:t>
      </w:r>
      <w:r w:rsidRPr="00D14DD6">
        <w:t>of these variables are reported in the in</w:t>
      </w:r>
      <w:r>
        <w:t xml:space="preserve"> </w:t>
      </w:r>
      <w:r w:rsidRPr="00D14DD6">
        <w:t xml:space="preserve">analyses in chapters 3, 4, and 5. </w:t>
      </w:r>
      <w:r>
        <w:t xml:space="preserve"> </w:t>
      </w:r>
      <w:r w:rsidRPr="00D14DD6">
        <w:t>In order to ensure</w:t>
      </w:r>
      <w:r>
        <w:t xml:space="preserve"> </w:t>
      </w:r>
      <w:r w:rsidRPr="00D14DD6">
        <w:t xml:space="preserve">the reliability of these variables, I conducted </w:t>
      </w:r>
      <w:r>
        <w:t>several</w:t>
      </w:r>
      <w:r w:rsidRPr="00D14DD6">
        <w:t xml:space="preserve"> waves of reliability analysis. The first</w:t>
      </w:r>
      <w:r>
        <w:t xml:space="preserve"> </w:t>
      </w:r>
      <w:r w:rsidRPr="00D14DD6">
        <w:t>wave used a 25% sample and all 48 variables were rescored by a trained coder. While</w:t>
      </w:r>
      <w:r>
        <w:t xml:space="preserve"> </w:t>
      </w:r>
      <w:r w:rsidRPr="00D14DD6">
        <w:t xml:space="preserve">most of the variables had a high degree of </w:t>
      </w:r>
      <w:proofErr w:type="spellStart"/>
      <w:r w:rsidRPr="00D14DD6">
        <w:t>intercoder</w:t>
      </w:r>
      <w:proofErr w:type="spellEnd"/>
      <w:r w:rsidRPr="00D14DD6">
        <w:t xml:space="preserve"> reliability, several of the more</w:t>
      </w:r>
      <w:r>
        <w:t xml:space="preserve"> </w:t>
      </w:r>
      <w:r w:rsidRPr="00D14DD6">
        <w:t>subjective variables suggested a lack of precision in the original codebook.</w:t>
      </w:r>
      <w:r>
        <w:t xml:space="preserve">  Given this, the codebook went through several waves of revision, and was used again to update the dataset following the 2008 presidential election.  Following this step, new reliability scores were obtained using a random 20% sample of the entire dataset.  </w:t>
      </w:r>
    </w:p>
    <w:p w:rsidR="00004C86" w:rsidRDefault="00004C86" w:rsidP="00004C86">
      <w:pPr>
        <w:pStyle w:val="NoSpacing"/>
      </w:pPr>
    </w:p>
    <w:p w:rsidR="00004C86" w:rsidRPr="006F5D45" w:rsidRDefault="00004C86" w:rsidP="00004C86">
      <w:pPr>
        <w:pStyle w:val="NoSpacing"/>
      </w:pPr>
      <w:r>
        <w:t xml:space="preserve">Coders agreed 83% of the time that the passage was making a group-based appeal (kappa = .577).  The </w:t>
      </w:r>
      <w:proofErr w:type="spellStart"/>
      <w:r>
        <w:t>ingroup</w:t>
      </w:r>
      <w:proofErr w:type="spellEnd"/>
      <w:r>
        <w:t xml:space="preserve"> category measure, used to construct both the civil religion and subgroup variables reported in chapters 3, 4, and 5 had 76% </w:t>
      </w:r>
      <w:proofErr w:type="spellStart"/>
      <w:r>
        <w:t>intercoder</w:t>
      </w:r>
      <w:proofErr w:type="spellEnd"/>
      <w:r>
        <w:t xml:space="preserve"> agreement (kappa = .606).  The culture wars variable had high (91%) </w:t>
      </w:r>
      <w:proofErr w:type="spellStart"/>
      <w:r>
        <w:t>intercoder</w:t>
      </w:r>
      <w:proofErr w:type="spellEnd"/>
      <w:r>
        <w:t xml:space="preserve"> agreement but a low kappa (.36) due to </w:t>
      </w:r>
      <w:proofErr w:type="spellStart"/>
      <w:r>
        <w:t>intercoder</w:t>
      </w:r>
      <w:proofErr w:type="spellEnd"/>
      <w:r>
        <w:t xml:space="preserve"> disagreements on this low frequency variable.  For several other variables, </w:t>
      </w:r>
      <w:proofErr w:type="spellStart"/>
      <w:r>
        <w:t>intercoder</w:t>
      </w:r>
      <w:proofErr w:type="spellEnd"/>
      <w:r>
        <w:t xml:space="preserve"> agreement was acceptable using the original wave of coding.   </w:t>
      </w:r>
      <w:proofErr w:type="spellStart"/>
      <w:r>
        <w:t>Outgroup</w:t>
      </w:r>
      <w:proofErr w:type="spellEnd"/>
      <w:r>
        <w:t xml:space="preserve"> had 89% agreement (kappa = .595), Shared/Pluralistic 71% agreement (kappa = .511), </w:t>
      </w:r>
      <w:proofErr w:type="gramStart"/>
      <w:r>
        <w:t>Blessed</w:t>
      </w:r>
      <w:proofErr w:type="gramEnd"/>
      <w:r>
        <w:t xml:space="preserve"> 71% agreement (kappa = .505), and God concept 93% agreement (kappa = .814).  Opponent, which is not discussed until chapter 5, has 95% </w:t>
      </w:r>
      <w:proofErr w:type="spellStart"/>
      <w:r>
        <w:t>intercoder</w:t>
      </w:r>
      <w:proofErr w:type="spellEnd"/>
      <w:r>
        <w:t xml:space="preserve"> agreement (kappa = .696).</w:t>
      </w:r>
    </w:p>
    <w:p w:rsidR="00004C86" w:rsidRDefault="00004C86" w:rsidP="00004C86">
      <w:pPr>
        <w:pStyle w:val="NoSpacing"/>
      </w:pPr>
    </w:p>
    <w:p w:rsidR="00004C86" w:rsidRDefault="00004C86" w:rsidP="00004C86">
      <w:pPr>
        <w:pStyle w:val="NoSpacing"/>
      </w:pPr>
      <w:r>
        <w:t>While several of these scores are lower than ideal, several caveats should be noted.  First, on several of the variables, the option to score the passage as “</w:t>
      </w:r>
      <w:proofErr w:type="spellStart"/>
      <w:r>
        <w:t>uncodable</w:t>
      </w:r>
      <w:proofErr w:type="spellEnd"/>
      <w:r>
        <w:t xml:space="preserve">” depressed reliability scores.  For example, </w:t>
      </w:r>
      <w:r w:rsidR="00717D48">
        <w:t>while coders sometimes disagreed as to whether a passage could be coded as a shared or pluralistic passage at all, coders rarely disagreed as to whether coded passages should be scored as shared or pluralistic.</w:t>
      </w:r>
      <w:r>
        <w:t xml:space="preserve">  Most of the disagreement came when one coder marked a passage as “</w:t>
      </w:r>
      <w:proofErr w:type="spellStart"/>
      <w:r>
        <w:t>uncodable</w:t>
      </w:r>
      <w:proofErr w:type="spellEnd"/>
      <w:r>
        <w:t>.”  For this reason, analysis in chapter 3 using this variable excludes “</w:t>
      </w:r>
      <w:proofErr w:type="spellStart"/>
      <w:r>
        <w:t>uncodable</w:t>
      </w:r>
      <w:proofErr w:type="spellEnd"/>
      <w:r>
        <w:t xml:space="preserve">” cases.  Second, these reliability scores are comparable to similar research assessing the effects of campaign stimuli. For example, </w:t>
      </w:r>
      <w:proofErr w:type="spellStart"/>
      <w:r>
        <w:t>Brader</w:t>
      </w:r>
      <w:proofErr w:type="spellEnd"/>
      <w:r>
        <w:t xml:space="preserve"> (2006) reports </w:t>
      </w:r>
      <w:proofErr w:type="spellStart"/>
      <w:r>
        <w:t>kappas</w:t>
      </w:r>
      <w:proofErr w:type="spellEnd"/>
      <w:r>
        <w:t xml:space="preserve"> ranging from .34 to .78 (p. 152).</w:t>
      </w:r>
    </w:p>
    <w:p w:rsidR="00197D7E" w:rsidRDefault="00197D7E" w:rsidP="00004C86">
      <w:pPr>
        <w:pStyle w:val="NoSpacing"/>
      </w:pPr>
    </w:p>
    <w:p w:rsidR="00197D7E" w:rsidRPr="00D14DD6" w:rsidRDefault="00197D7E" w:rsidP="00004C86">
      <w:pPr>
        <w:pStyle w:val="NoSpacing"/>
      </w:pPr>
    </w:p>
    <w:p w:rsidR="00064326" w:rsidRDefault="00064326" w:rsidP="0003775C">
      <w:pPr>
        <w:pStyle w:val="NoSpacing"/>
        <w:rPr>
          <w:b/>
        </w:rPr>
      </w:pPr>
    </w:p>
    <w:p w:rsidR="00E131C2" w:rsidRDefault="00E131C2" w:rsidP="0003775C">
      <w:pPr>
        <w:pStyle w:val="NoSpacing"/>
        <w:rPr>
          <w:b/>
        </w:rPr>
      </w:pPr>
    </w:p>
    <w:p w:rsidR="00E131C2" w:rsidRDefault="00E131C2" w:rsidP="0003775C">
      <w:pPr>
        <w:pStyle w:val="NoSpacing"/>
        <w:rPr>
          <w:b/>
        </w:rPr>
      </w:pPr>
    </w:p>
    <w:p w:rsidR="00E131C2" w:rsidRDefault="00E131C2" w:rsidP="0003775C">
      <w:pPr>
        <w:pStyle w:val="NoSpacing"/>
        <w:rPr>
          <w:b/>
        </w:rPr>
      </w:pPr>
    </w:p>
    <w:p w:rsidR="00E131C2" w:rsidRDefault="00E131C2">
      <w:pPr>
        <w:rPr>
          <w:b/>
        </w:rPr>
      </w:pPr>
      <w:r>
        <w:rPr>
          <w:b/>
        </w:rPr>
        <w:br w:type="page"/>
      </w:r>
    </w:p>
    <w:p w:rsidR="00E131C2" w:rsidRDefault="00E131C2" w:rsidP="0003775C">
      <w:pPr>
        <w:pStyle w:val="NoSpacing"/>
        <w:rPr>
          <w:rFonts w:eastAsia="MS Mincho"/>
          <w:b/>
          <w:u w:val="single"/>
        </w:rPr>
      </w:pPr>
      <w:r w:rsidRPr="00E131C2">
        <w:rPr>
          <w:b/>
          <w:u w:val="single"/>
        </w:rPr>
        <w:lastRenderedPageBreak/>
        <w:t xml:space="preserve">3. </w:t>
      </w:r>
      <w:r w:rsidRPr="00E131C2">
        <w:rPr>
          <w:rFonts w:eastAsia="MS Mincho"/>
          <w:b/>
          <w:u w:val="single"/>
        </w:rPr>
        <w:t>Pluralistic and shared religious rhetoric, by identity cue (to accompany Figure 3.3)</w:t>
      </w:r>
    </w:p>
    <w:p w:rsidR="00E131C2" w:rsidRPr="004F3A44" w:rsidRDefault="00E131C2" w:rsidP="004F3A44">
      <w:pPr>
        <w:pStyle w:val="NoSpacing"/>
        <w:jc w:val="center"/>
        <w:rPr>
          <w:rFonts w:eastAsia="MS Mincho"/>
          <w:b/>
        </w:rPr>
      </w:pPr>
    </w:p>
    <w:tbl>
      <w:tblPr>
        <w:tblStyle w:val="TableGrid"/>
        <w:tblW w:w="0" w:type="auto"/>
        <w:tblLook w:val="04A0" w:firstRow="1" w:lastRow="0" w:firstColumn="1" w:lastColumn="0" w:noHBand="0" w:noVBand="1"/>
      </w:tblPr>
      <w:tblGrid>
        <w:gridCol w:w="3192"/>
        <w:gridCol w:w="3192"/>
        <w:gridCol w:w="3192"/>
      </w:tblGrid>
      <w:tr w:rsidR="004F3A44" w:rsidRPr="004F3A44" w:rsidTr="004F3A44">
        <w:tc>
          <w:tcPr>
            <w:tcW w:w="9576" w:type="dxa"/>
            <w:gridSpan w:val="3"/>
            <w:tcBorders>
              <w:top w:val="nil"/>
              <w:left w:val="nil"/>
              <w:bottom w:val="single" w:sz="4" w:space="0" w:color="auto"/>
              <w:right w:val="nil"/>
            </w:tcBorders>
          </w:tcPr>
          <w:p w:rsidR="004F3A44" w:rsidRPr="004F3A44" w:rsidRDefault="004F3A44" w:rsidP="004F3A44">
            <w:pPr>
              <w:pStyle w:val="NoSpacing"/>
              <w:jc w:val="center"/>
              <w:rPr>
                <w:rFonts w:eastAsia="MS Mincho"/>
                <w:b/>
              </w:rPr>
            </w:pPr>
            <w:r w:rsidRPr="004F3A44">
              <w:rPr>
                <w:rFonts w:eastAsia="MS Mincho"/>
                <w:b/>
              </w:rPr>
              <w:t>Pluralistic and shared religious rhetoric, by identity cue</w:t>
            </w:r>
          </w:p>
        </w:tc>
      </w:tr>
      <w:tr w:rsidR="00996AA8" w:rsidTr="004F3A44">
        <w:tc>
          <w:tcPr>
            <w:tcW w:w="3192" w:type="dxa"/>
            <w:tcBorders>
              <w:left w:val="nil"/>
              <w:bottom w:val="single" w:sz="4" w:space="0" w:color="auto"/>
              <w:right w:val="nil"/>
            </w:tcBorders>
          </w:tcPr>
          <w:p w:rsidR="00996AA8" w:rsidRPr="00C47EE8" w:rsidRDefault="00C47EE8" w:rsidP="0003775C">
            <w:pPr>
              <w:pStyle w:val="NoSpacing"/>
              <w:rPr>
                <w:rFonts w:eastAsia="MS Mincho"/>
                <w:b/>
              </w:rPr>
            </w:pPr>
            <w:r w:rsidRPr="00C47EE8">
              <w:rPr>
                <w:rFonts w:eastAsia="MS Mincho"/>
                <w:b/>
              </w:rPr>
              <w:t>Independent variable</w:t>
            </w:r>
          </w:p>
        </w:tc>
        <w:tc>
          <w:tcPr>
            <w:tcW w:w="3192" w:type="dxa"/>
            <w:tcBorders>
              <w:left w:val="nil"/>
              <w:bottom w:val="single" w:sz="4" w:space="0" w:color="auto"/>
              <w:right w:val="nil"/>
            </w:tcBorders>
          </w:tcPr>
          <w:p w:rsidR="00996AA8" w:rsidRPr="004F3A44" w:rsidRDefault="00996AA8" w:rsidP="0003775C">
            <w:pPr>
              <w:pStyle w:val="NoSpacing"/>
              <w:rPr>
                <w:rFonts w:eastAsia="MS Mincho"/>
                <w:b/>
              </w:rPr>
            </w:pPr>
            <w:r w:rsidRPr="004F3A44">
              <w:rPr>
                <w:rFonts w:eastAsia="MS Mincho"/>
                <w:b/>
              </w:rPr>
              <w:t>Shared religion</w:t>
            </w:r>
          </w:p>
        </w:tc>
        <w:tc>
          <w:tcPr>
            <w:tcW w:w="3192" w:type="dxa"/>
            <w:tcBorders>
              <w:left w:val="nil"/>
              <w:bottom w:val="single" w:sz="4" w:space="0" w:color="auto"/>
              <w:right w:val="nil"/>
            </w:tcBorders>
          </w:tcPr>
          <w:p w:rsidR="00996AA8" w:rsidRPr="004F3A44" w:rsidRDefault="00996AA8" w:rsidP="0003775C">
            <w:pPr>
              <w:pStyle w:val="NoSpacing"/>
              <w:rPr>
                <w:rFonts w:eastAsia="MS Mincho"/>
                <w:b/>
              </w:rPr>
            </w:pPr>
            <w:r w:rsidRPr="004F3A44">
              <w:rPr>
                <w:rFonts w:eastAsia="MS Mincho"/>
                <w:b/>
              </w:rPr>
              <w:t>Pluralistic religion</w:t>
            </w:r>
          </w:p>
        </w:tc>
      </w:tr>
      <w:tr w:rsidR="004F3A44" w:rsidTr="004F3A44">
        <w:tc>
          <w:tcPr>
            <w:tcW w:w="3192" w:type="dxa"/>
            <w:tcBorders>
              <w:top w:val="single" w:sz="4" w:space="0" w:color="auto"/>
              <w:left w:val="nil"/>
              <w:bottom w:val="nil"/>
              <w:right w:val="nil"/>
            </w:tcBorders>
          </w:tcPr>
          <w:p w:rsidR="004F3A44" w:rsidRPr="004F3A44" w:rsidRDefault="004F3A44" w:rsidP="0003775C">
            <w:pPr>
              <w:pStyle w:val="NoSpacing"/>
              <w:rPr>
                <w:rFonts w:eastAsia="MS Mincho"/>
                <w:b/>
              </w:rPr>
            </w:pPr>
            <w:r w:rsidRPr="004F3A44">
              <w:rPr>
                <w:rFonts w:eastAsia="MS Mincho"/>
                <w:b/>
              </w:rPr>
              <w:t>Passage length</w:t>
            </w:r>
          </w:p>
        </w:tc>
        <w:tc>
          <w:tcPr>
            <w:tcW w:w="3192" w:type="dxa"/>
            <w:tcBorders>
              <w:top w:val="single" w:sz="4" w:space="0" w:color="auto"/>
              <w:left w:val="nil"/>
              <w:bottom w:val="nil"/>
              <w:right w:val="nil"/>
            </w:tcBorders>
          </w:tcPr>
          <w:p w:rsidR="004F3A44" w:rsidRPr="00B75B1E" w:rsidRDefault="004F3A44" w:rsidP="004F3A44">
            <w:r>
              <w:t>0.033</w:t>
            </w:r>
          </w:p>
        </w:tc>
        <w:tc>
          <w:tcPr>
            <w:tcW w:w="3192" w:type="dxa"/>
            <w:tcBorders>
              <w:top w:val="single" w:sz="4" w:space="0" w:color="auto"/>
              <w:left w:val="nil"/>
              <w:bottom w:val="nil"/>
              <w:right w:val="nil"/>
            </w:tcBorders>
          </w:tcPr>
          <w:p w:rsidR="004F3A44" w:rsidRPr="00592486" w:rsidRDefault="004F3A44" w:rsidP="004F3A44">
            <w:r w:rsidRPr="00592486">
              <w:t>0.187</w:t>
            </w:r>
            <w:r>
              <w:t>**</w:t>
            </w:r>
          </w:p>
        </w:tc>
      </w:tr>
      <w:tr w:rsidR="004F3A44" w:rsidTr="004F3A44">
        <w:tc>
          <w:tcPr>
            <w:tcW w:w="3192" w:type="dxa"/>
            <w:tcBorders>
              <w:top w:val="nil"/>
              <w:left w:val="nil"/>
              <w:bottom w:val="nil"/>
              <w:right w:val="nil"/>
            </w:tcBorders>
          </w:tcPr>
          <w:p w:rsidR="004F3A44" w:rsidRPr="004F3A44" w:rsidRDefault="004F3A44" w:rsidP="0003775C">
            <w:pPr>
              <w:pStyle w:val="NoSpacing"/>
              <w:rPr>
                <w:rFonts w:eastAsia="MS Mincho"/>
                <w:b/>
              </w:rPr>
            </w:pPr>
            <w:r w:rsidRPr="004F3A44">
              <w:rPr>
                <w:rFonts w:eastAsia="MS Mincho"/>
                <w:b/>
              </w:rPr>
              <w:t>Culture wars</w:t>
            </w:r>
          </w:p>
        </w:tc>
        <w:tc>
          <w:tcPr>
            <w:tcW w:w="3192" w:type="dxa"/>
            <w:tcBorders>
              <w:top w:val="nil"/>
              <w:left w:val="nil"/>
              <w:bottom w:val="nil"/>
              <w:right w:val="nil"/>
            </w:tcBorders>
          </w:tcPr>
          <w:p w:rsidR="004F3A44" w:rsidRPr="00B75B1E" w:rsidRDefault="004F3A44" w:rsidP="004F3A44">
            <w:r w:rsidRPr="00B75B1E">
              <w:t>-0.39</w:t>
            </w:r>
            <w:r>
              <w:t>2</w:t>
            </w:r>
          </w:p>
        </w:tc>
        <w:tc>
          <w:tcPr>
            <w:tcW w:w="3192" w:type="dxa"/>
            <w:tcBorders>
              <w:top w:val="nil"/>
              <w:left w:val="nil"/>
              <w:bottom w:val="nil"/>
              <w:right w:val="nil"/>
            </w:tcBorders>
          </w:tcPr>
          <w:p w:rsidR="004F3A44" w:rsidRPr="00592486" w:rsidRDefault="004F3A44" w:rsidP="004F3A44">
            <w:r w:rsidRPr="00592486">
              <w:t>0.799</w:t>
            </w:r>
          </w:p>
        </w:tc>
      </w:tr>
      <w:tr w:rsidR="004F3A44" w:rsidTr="004F3A44">
        <w:tc>
          <w:tcPr>
            <w:tcW w:w="3192" w:type="dxa"/>
            <w:tcBorders>
              <w:top w:val="nil"/>
              <w:left w:val="nil"/>
              <w:bottom w:val="nil"/>
              <w:right w:val="nil"/>
            </w:tcBorders>
          </w:tcPr>
          <w:p w:rsidR="004F3A44" w:rsidRPr="004F3A44" w:rsidRDefault="004F3A44" w:rsidP="0003775C">
            <w:pPr>
              <w:pStyle w:val="NoSpacing"/>
              <w:rPr>
                <w:rFonts w:eastAsia="MS Mincho"/>
                <w:b/>
              </w:rPr>
            </w:pPr>
            <w:r w:rsidRPr="004F3A44">
              <w:rPr>
                <w:rFonts w:eastAsia="MS Mincho"/>
                <w:b/>
              </w:rPr>
              <w:t xml:space="preserve">Subgroup </w:t>
            </w:r>
          </w:p>
        </w:tc>
        <w:tc>
          <w:tcPr>
            <w:tcW w:w="3192" w:type="dxa"/>
            <w:tcBorders>
              <w:top w:val="nil"/>
              <w:left w:val="nil"/>
              <w:bottom w:val="nil"/>
              <w:right w:val="nil"/>
            </w:tcBorders>
          </w:tcPr>
          <w:p w:rsidR="004F3A44" w:rsidRPr="00B75B1E" w:rsidRDefault="004F3A44" w:rsidP="004F3A44">
            <w:r w:rsidRPr="00B75B1E">
              <w:t>-0.262</w:t>
            </w:r>
          </w:p>
        </w:tc>
        <w:tc>
          <w:tcPr>
            <w:tcW w:w="3192" w:type="dxa"/>
            <w:tcBorders>
              <w:top w:val="nil"/>
              <w:left w:val="nil"/>
              <w:bottom w:val="nil"/>
              <w:right w:val="nil"/>
            </w:tcBorders>
          </w:tcPr>
          <w:p w:rsidR="004F3A44" w:rsidRPr="00592486" w:rsidRDefault="004F3A44" w:rsidP="004F3A44">
            <w:r w:rsidRPr="00592486">
              <w:t>0.915</w:t>
            </w:r>
            <w:r>
              <w:t>**</w:t>
            </w:r>
          </w:p>
        </w:tc>
      </w:tr>
      <w:tr w:rsidR="004F3A44" w:rsidTr="004F3A44">
        <w:tc>
          <w:tcPr>
            <w:tcW w:w="3192" w:type="dxa"/>
            <w:tcBorders>
              <w:top w:val="nil"/>
              <w:left w:val="nil"/>
              <w:bottom w:val="nil"/>
              <w:right w:val="nil"/>
            </w:tcBorders>
          </w:tcPr>
          <w:p w:rsidR="004F3A44" w:rsidRPr="004F3A44" w:rsidRDefault="004F3A44" w:rsidP="0003775C">
            <w:pPr>
              <w:pStyle w:val="NoSpacing"/>
              <w:rPr>
                <w:rFonts w:eastAsia="MS Mincho"/>
                <w:b/>
              </w:rPr>
            </w:pPr>
            <w:r w:rsidRPr="004F3A44">
              <w:rPr>
                <w:rFonts w:eastAsia="MS Mincho"/>
                <w:b/>
              </w:rPr>
              <w:t xml:space="preserve">Civil religion </w:t>
            </w:r>
          </w:p>
        </w:tc>
        <w:tc>
          <w:tcPr>
            <w:tcW w:w="3192" w:type="dxa"/>
            <w:tcBorders>
              <w:top w:val="nil"/>
              <w:left w:val="nil"/>
              <w:bottom w:val="nil"/>
              <w:right w:val="nil"/>
            </w:tcBorders>
          </w:tcPr>
          <w:p w:rsidR="004F3A44" w:rsidRPr="00B75B1E" w:rsidRDefault="004F3A44" w:rsidP="004F3A44">
            <w:r w:rsidRPr="00B75B1E">
              <w:t>1.804</w:t>
            </w:r>
            <w:r>
              <w:t>**</w:t>
            </w:r>
          </w:p>
        </w:tc>
        <w:tc>
          <w:tcPr>
            <w:tcW w:w="3192" w:type="dxa"/>
            <w:tcBorders>
              <w:top w:val="nil"/>
              <w:left w:val="nil"/>
              <w:bottom w:val="nil"/>
              <w:right w:val="nil"/>
            </w:tcBorders>
          </w:tcPr>
          <w:p w:rsidR="004F3A44" w:rsidRPr="00592486" w:rsidRDefault="004F3A44" w:rsidP="004F3A44">
            <w:r>
              <w:t>-0.357</w:t>
            </w:r>
          </w:p>
        </w:tc>
      </w:tr>
      <w:tr w:rsidR="004F3A44" w:rsidTr="004F3A44">
        <w:tc>
          <w:tcPr>
            <w:tcW w:w="3192" w:type="dxa"/>
            <w:tcBorders>
              <w:top w:val="nil"/>
              <w:left w:val="nil"/>
              <w:bottom w:val="nil"/>
              <w:right w:val="nil"/>
            </w:tcBorders>
          </w:tcPr>
          <w:p w:rsidR="004F3A44" w:rsidRPr="004F3A44" w:rsidRDefault="004F3A44" w:rsidP="0003775C">
            <w:pPr>
              <w:pStyle w:val="NoSpacing"/>
              <w:rPr>
                <w:rFonts w:eastAsia="MS Mincho"/>
                <w:b/>
              </w:rPr>
            </w:pPr>
            <w:r w:rsidRPr="004F3A44">
              <w:rPr>
                <w:rFonts w:eastAsia="MS Mincho"/>
                <w:b/>
              </w:rPr>
              <w:t>Constant</w:t>
            </w:r>
          </w:p>
        </w:tc>
        <w:tc>
          <w:tcPr>
            <w:tcW w:w="3192" w:type="dxa"/>
            <w:tcBorders>
              <w:top w:val="nil"/>
              <w:left w:val="nil"/>
              <w:bottom w:val="nil"/>
              <w:right w:val="nil"/>
            </w:tcBorders>
          </w:tcPr>
          <w:p w:rsidR="004F3A44" w:rsidRDefault="004F3A44" w:rsidP="004F3A44">
            <w:r w:rsidRPr="00B75B1E">
              <w:t>-0.96</w:t>
            </w:r>
            <w:r>
              <w:t>1</w:t>
            </w:r>
          </w:p>
        </w:tc>
        <w:tc>
          <w:tcPr>
            <w:tcW w:w="3192" w:type="dxa"/>
            <w:tcBorders>
              <w:top w:val="nil"/>
              <w:left w:val="nil"/>
              <w:bottom w:val="nil"/>
              <w:right w:val="nil"/>
            </w:tcBorders>
          </w:tcPr>
          <w:p w:rsidR="004F3A44" w:rsidRDefault="004F3A44" w:rsidP="004F3A44">
            <w:r w:rsidRPr="00592486">
              <w:t>-3.171</w:t>
            </w:r>
          </w:p>
        </w:tc>
      </w:tr>
      <w:tr w:rsidR="00996AA8" w:rsidTr="004F3A44">
        <w:tc>
          <w:tcPr>
            <w:tcW w:w="3192" w:type="dxa"/>
            <w:tcBorders>
              <w:top w:val="nil"/>
              <w:left w:val="nil"/>
              <w:bottom w:val="nil"/>
              <w:right w:val="nil"/>
            </w:tcBorders>
          </w:tcPr>
          <w:p w:rsidR="00996AA8" w:rsidRPr="004F3A44" w:rsidRDefault="00996AA8" w:rsidP="0003775C">
            <w:pPr>
              <w:pStyle w:val="NoSpacing"/>
              <w:rPr>
                <w:rFonts w:eastAsia="MS Mincho"/>
                <w:b/>
              </w:rPr>
            </w:pPr>
          </w:p>
        </w:tc>
        <w:tc>
          <w:tcPr>
            <w:tcW w:w="3192" w:type="dxa"/>
            <w:tcBorders>
              <w:top w:val="nil"/>
              <w:left w:val="nil"/>
              <w:bottom w:val="nil"/>
              <w:right w:val="nil"/>
            </w:tcBorders>
          </w:tcPr>
          <w:p w:rsidR="00996AA8" w:rsidRDefault="00996AA8" w:rsidP="00996AA8"/>
        </w:tc>
        <w:tc>
          <w:tcPr>
            <w:tcW w:w="3192" w:type="dxa"/>
            <w:tcBorders>
              <w:top w:val="nil"/>
              <w:left w:val="nil"/>
              <w:bottom w:val="nil"/>
              <w:right w:val="nil"/>
            </w:tcBorders>
          </w:tcPr>
          <w:p w:rsidR="00996AA8" w:rsidRDefault="00996AA8" w:rsidP="0003775C">
            <w:pPr>
              <w:pStyle w:val="NoSpacing"/>
              <w:rPr>
                <w:rFonts w:eastAsia="MS Mincho"/>
                <w:b/>
                <w:u w:val="single"/>
              </w:rPr>
            </w:pPr>
          </w:p>
        </w:tc>
      </w:tr>
      <w:tr w:rsidR="00996AA8" w:rsidTr="004F3A44">
        <w:tc>
          <w:tcPr>
            <w:tcW w:w="3192" w:type="dxa"/>
            <w:tcBorders>
              <w:top w:val="nil"/>
              <w:left w:val="nil"/>
              <w:bottom w:val="nil"/>
              <w:right w:val="nil"/>
            </w:tcBorders>
          </w:tcPr>
          <w:p w:rsidR="00996AA8" w:rsidRPr="004F3A44" w:rsidRDefault="00996AA8" w:rsidP="0003775C">
            <w:pPr>
              <w:pStyle w:val="NoSpacing"/>
              <w:rPr>
                <w:rFonts w:eastAsia="MS Mincho"/>
                <w:b/>
              </w:rPr>
            </w:pPr>
            <w:proofErr w:type="spellStart"/>
            <w:r w:rsidRPr="004F3A44">
              <w:rPr>
                <w:rFonts w:eastAsia="MS Mincho"/>
                <w:b/>
              </w:rPr>
              <w:t>Nagelkerke</w:t>
            </w:r>
            <w:proofErr w:type="spellEnd"/>
            <w:r w:rsidRPr="004F3A44">
              <w:rPr>
                <w:rFonts w:eastAsia="MS Mincho"/>
                <w:b/>
              </w:rPr>
              <w:t xml:space="preserve"> R square</w:t>
            </w:r>
          </w:p>
        </w:tc>
        <w:tc>
          <w:tcPr>
            <w:tcW w:w="3192" w:type="dxa"/>
            <w:tcBorders>
              <w:top w:val="nil"/>
              <w:left w:val="nil"/>
              <w:bottom w:val="nil"/>
              <w:right w:val="nil"/>
            </w:tcBorders>
          </w:tcPr>
          <w:p w:rsidR="00996AA8" w:rsidRDefault="004F3A44" w:rsidP="00996AA8">
            <w:r>
              <w:t>.229</w:t>
            </w:r>
          </w:p>
        </w:tc>
        <w:tc>
          <w:tcPr>
            <w:tcW w:w="3192" w:type="dxa"/>
            <w:tcBorders>
              <w:top w:val="nil"/>
              <w:left w:val="nil"/>
              <w:bottom w:val="nil"/>
              <w:right w:val="nil"/>
            </w:tcBorders>
          </w:tcPr>
          <w:p w:rsidR="00996AA8" w:rsidRPr="004F3A44" w:rsidRDefault="004F3A44" w:rsidP="0003775C">
            <w:pPr>
              <w:pStyle w:val="NoSpacing"/>
              <w:rPr>
                <w:rFonts w:eastAsia="MS Mincho"/>
              </w:rPr>
            </w:pPr>
            <w:r w:rsidRPr="004F3A44">
              <w:rPr>
                <w:rFonts w:eastAsia="MS Mincho"/>
              </w:rPr>
              <w:t>.093</w:t>
            </w:r>
          </w:p>
        </w:tc>
      </w:tr>
      <w:tr w:rsidR="00996AA8" w:rsidTr="00030C65">
        <w:tc>
          <w:tcPr>
            <w:tcW w:w="3192" w:type="dxa"/>
            <w:tcBorders>
              <w:top w:val="nil"/>
              <w:left w:val="nil"/>
              <w:bottom w:val="single" w:sz="4" w:space="0" w:color="auto"/>
              <w:right w:val="nil"/>
            </w:tcBorders>
          </w:tcPr>
          <w:p w:rsidR="00996AA8" w:rsidRPr="004F3A44" w:rsidRDefault="00996AA8" w:rsidP="0003775C">
            <w:pPr>
              <w:pStyle w:val="NoSpacing"/>
              <w:rPr>
                <w:rFonts w:eastAsia="MS Mincho"/>
                <w:b/>
              </w:rPr>
            </w:pPr>
            <w:r w:rsidRPr="004F3A44">
              <w:rPr>
                <w:rFonts w:eastAsia="MS Mincho"/>
                <w:b/>
              </w:rPr>
              <w:t>% correctly predicted</w:t>
            </w:r>
          </w:p>
        </w:tc>
        <w:tc>
          <w:tcPr>
            <w:tcW w:w="3192" w:type="dxa"/>
            <w:tcBorders>
              <w:top w:val="nil"/>
              <w:left w:val="nil"/>
              <w:bottom w:val="single" w:sz="4" w:space="0" w:color="auto"/>
              <w:right w:val="nil"/>
            </w:tcBorders>
          </w:tcPr>
          <w:p w:rsidR="00996AA8" w:rsidRDefault="004F3A44" w:rsidP="00996AA8">
            <w:r>
              <w:t>71.4%</w:t>
            </w:r>
          </w:p>
        </w:tc>
        <w:tc>
          <w:tcPr>
            <w:tcW w:w="3192" w:type="dxa"/>
            <w:tcBorders>
              <w:top w:val="nil"/>
              <w:left w:val="nil"/>
              <w:bottom w:val="single" w:sz="4" w:space="0" w:color="auto"/>
              <w:right w:val="nil"/>
            </w:tcBorders>
          </w:tcPr>
          <w:p w:rsidR="00996AA8" w:rsidRPr="004F3A44" w:rsidRDefault="004F3A44" w:rsidP="0003775C">
            <w:pPr>
              <w:pStyle w:val="NoSpacing"/>
              <w:rPr>
                <w:rFonts w:eastAsia="MS Mincho"/>
              </w:rPr>
            </w:pPr>
            <w:r w:rsidRPr="004F3A44">
              <w:rPr>
                <w:rFonts w:eastAsia="MS Mincho"/>
              </w:rPr>
              <w:t>93.</w:t>
            </w:r>
            <w:r>
              <w:rPr>
                <w:rFonts w:eastAsia="MS Mincho"/>
              </w:rPr>
              <w:t>2%</w:t>
            </w:r>
          </w:p>
        </w:tc>
      </w:tr>
      <w:tr w:rsidR="004F3A44" w:rsidTr="00030C65">
        <w:tc>
          <w:tcPr>
            <w:tcW w:w="9576" w:type="dxa"/>
            <w:gridSpan w:val="3"/>
            <w:tcBorders>
              <w:left w:val="nil"/>
              <w:bottom w:val="nil"/>
              <w:right w:val="nil"/>
            </w:tcBorders>
          </w:tcPr>
          <w:p w:rsidR="004F3A44" w:rsidRDefault="004F3A44" w:rsidP="0003775C">
            <w:pPr>
              <w:pStyle w:val="NoSpacing"/>
              <w:rPr>
                <w:rFonts w:eastAsia="MS Mincho"/>
              </w:rPr>
            </w:pPr>
            <w:r>
              <w:rPr>
                <w:rFonts w:eastAsia="MS Mincho"/>
              </w:rPr>
              <w:t xml:space="preserve">Above: Entries are </w:t>
            </w:r>
            <w:proofErr w:type="spellStart"/>
            <w:r>
              <w:rPr>
                <w:rFonts w:eastAsia="MS Mincho"/>
              </w:rPr>
              <w:t>logit</w:t>
            </w:r>
            <w:proofErr w:type="spellEnd"/>
            <w:r>
              <w:rPr>
                <w:rFonts w:eastAsia="MS Mincho"/>
              </w:rPr>
              <w:t xml:space="preserve"> coefficients predicting shared or pluralistic conceptions of American religiosity. </w:t>
            </w:r>
          </w:p>
          <w:p w:rsidR="004F3A44" w:rsidRPr="004F3A44" w:rsidRDefault="004F3A44" w:rsidP="0003775C">
            <w:pPr>
              <w:pStyle w:val="NoSpacing"/>
              <w:rPr>
                <w:rFonts w:eastAsia="MS Mincho"/>
              </w:rPr>
            </w:pPr>
            <w:r>
              <w:rPr>
                <w:rFonts w:eastAsia="MS Mincho"/>
              </w:rPr>
              <w:t>**p&lt;.001</w:t>
            </w:r>
          </w:p>
        </w:tc>
      </w:tr>
    </w:tbl>
    <w:p w:rsidR="00E131C2" w:rsidRDefault="00E131C2" w:rsidP="0003775C">
      <w:pPr>
        <w:pStyle w:val="NoSpacing"/>
        <w:rPr>
          <w:rFonts w:eastAsia="MS Mincho"/>
          <w:b/>
          <w:u w:val="single"/>
        </w:rPr>
      </w:pPr>
    </w:p>
    <w:p w:rsidR="00E131C2" w:rsidRDefault="00030C65" w:rsidP="00030C65">
      <w:r>
        <w:br w:type="page"/>
      </w:r>
    </w:p>
    <w:p w:rsidR="00E131C2" w:rsidRDefault="00E131C2" w:rsidP="0003775C">
      <w:pPr>
        <w:pStyle w:val="NoSpacing"/>
        <w:rPr>
          <w:rFonts w:eastAsia="MS Mincho"/>
          <w:b/>
          <w:u w:val="single"/>
        </w:rPr>
      </w:pPr>
      <w:r w:rsidRPr="00E131C2">
        <w:rPr>
          <w:b/>
          <w:u w:val="single"/>
        </w:rPr>
        <w:lastRenderedPageBreak/>
        <w:t xml:space="preserve">4. </w:t>
      </w:r>
      <w:r w:rsidRPr="00E131C2">
        <w:rPr>
          <w:rFonts w:eastAsia="MS Mincho"/>
          <w:b/>
          <w:u w:val="single"/>
        </w:rPr>
        <w:t>Culture wars rhetoric as a vehicle to convey a moral crisis (to accompany Figure 3.4)</w:t>
      </w:r>
    </w:p>
    <w:p w:rsidR="00E131C2" w:rsidRDefault="00E131C2" w:rsidP="0003775C">
      <w:pPr>
        <w:pStyle w:val="NoSpacing"/>
        <w:rPr>
          <w:rFonts w:eastAsia="MS Mincho"/>
          <w:b/>
          <w:u w:val="single"/>
        </w:rPr>
      </w:pPr>
    </w:p>
    <w:tbl>
      <w:tblPr>
        <w:tblStyle w:val="TableGrid"/>
        <w:tblW w:w="0" w:type="auto"/>
        <w:tblLook w:val="04A0" w:firstRow="1" w:lastRow="0" w:firstColumn="1" w:lastColumn="0" w:noHBand="0" w:noVBand="1"/>
      </w:tblPr>
      <w:tblGrid>
        <w:gridCol w:w="3192"/>
        <w:gridCol w:w="3192"/>
        <w:gridCol w:w="3192"/>
      </w:tblGrid>
      <w:tr w:rsidR="008C076C" w:rsidTr="004F3A44">
        <w:tc>
          <w:tcPr>
            <w:tcW w:w="9576" w:type="dxa"/>
            <w:gridSpan w:val="3"/>
            <w:tcBorders>
              <w:top w:val="nil"/>
              <w:left w:val="nil"/>
              <w:bottom w:val="single" w:sz="4" w:space="0" w:color="auto"/>
              <w:right w:val="nil"/>
            </w:tcBorders>
          </w:tcPr>
          <w:p w:rsidR="008C076C" w:rsidRPr="005941A1" w:rsidRDefault="005941A1" w:rsidP="005941A1">
            <w:pPr>
              <w:pStyle w:val="NoSpacing"/>
              <w:jc w:val="center"/>
            </w:pPr>
            <w:r w:rsidRPr="005941A1">
              <w:rPr>
                <w:rFonts w:eastAsia="MS Mincho"/>
                <w:b/>
              </w:rPr>
              <w:t>Culture wars rhetoric as a vehicle to convey a moral crisis</w:t>
            </w:r>
          </w:p>
        </w:tc>
      </w:tr>
      <w:tr w:rsidR="00E131C2" w:rsidTr="004F3A44">
        <w:tc>
          <w:tcPr>
            <w:tcW w:w="3192" w:type="dxa"/>
            <w:tcBorders>
              <w:left w:val="nil"/>
              <w:bottom w:val="single" w:sz="4" w:space="0" w:color="auto"/>
              <w:right w:val="nil"/>
            </w:tcBorders>
          </w:tcPr>
          <w:p w:rsidR="00E131C2" w:rsidRPr="00817729" w:rsidRDefault="008C076C" w:rsidP="0003775C">
            <w:pPr>
              <w:pStyle w:val="NoSpacing"/>
              <w:rPr>
                <w:b/>
              </w:rPr>
            </w:pPr>
            <w:r w:rsidRPr="00817729">
              <w:rPr>
                <w:b/>
              </w:rPr>
              <w:t>Identity type</w:t>
            </w:r>
          </w:p>
        </w:tc>
        <w:tc>
          <w:tcPr>
            <w:tcW w:w="3192" w:type="dxa"/>
            <w:tcBorders>
              <w:left w:val="nil"/>
              <w:bottom w:val="single" w:sz="4" w:space="0" w:color="auto"/>
              <w:right w:val="nil"/>
            </w:tcBorders>
          </w:tcPr>
          <w:p w:rsidR="00E131C2" w:rsidRPr="00817729" w:rsidRDefault="008C076C" w:rsidP="0003775C">
            <w:pPr>
              <w:pStyle w:val="NoSpacing"/>
              <w:rPr>
                <w:b/>
              </w:rPr>
            </w:pPr>
            <w:r w:rsidRPr="00817729">
              <w:rPr>
                <w:b/>
              </w:rPr>
              <w:t>Mean moral crisis score</w:t>
            </w:r>
          </w:p>
        </w:tc>
        <w:tc>
          <w:tcPr>
            <w:tcW w:w="3192" w:type="dxa"/>
            <w:tcBorders>
              <w:left w:val="nil"/>
              <w:bottom w:val="single" w:sz="4" w:space="0" w:color="auto"/>
              <w:right w:val="nil"/>
            </w:tcBorders>
          </w:tcPr>
          <w:p w:rsidR="00E131C2" w:rsidRPr="00817729" w:rsidRDefault="008C076C" w:rsidP="0003775C">
            <w:pPr>
              <w:pStyle w:val="NoSpacing"/>
              <w:rPr>
                <w:b/>
              </w:rPr>
            </w:pPr>
            <w:r w:rsidRPr="00817729">
              <w:rPr>
                <w:b/>
              </w:rPr>
              <w:t xml:space="preserve">Mean difference </w:t>
            </w:r>
          </w:p>
        </w:tc>
      </w:tr>
      <w:tr w:rsidR="00E131C2" w:rsidTr="004F3A44">
        <w:tc>
          <w:tcPr>
            <w:tcW w:w="3192" w:type="dxa"/>
            <w:tcBorders>
              <w:top w:val="single" w:sz="4" w:space="0" w:color="auto"/>
              <w:left w:val="nil"/>
              <w:bottom w:val="nil"/>
              <w:right w:val="nil"/>
            </w:tcBorders>
          </w:tcPr>
          <w:p w:rsidR="00E131C2" w:rsidRPr="00817729" w:rsidRDefault="008C076C" w:rsidP="0003775C">
            <w:pPr>
              <w:pStyle w:val="NoSpacing"/>
              <w:rPr>
                <w:b/>
              </w:rPr>
            </w:pPr>
            <w:r w:rsidRPr="00817729">
              <w:rPr>
                <w:b/>
              </w:rPr>
              <w:t>No identity</w:t>
            </w:r>
          </w:p>
        </w:tc>
        <w:tc>
          <w:tcPr>
            <w:tcW w:w="3192" w:type="dxa"/>
            <w:tcBorders>
              <w:top w:val="single" w:sz="4" w:space="0" w:color="auto"/>
              <w:left w:val="nil"/>
              <w:bottom w:val="nil"/>
              <w:right w:val="nil"/>
            </w:tcBorders>
          </w:tcPr>
          <w:p w:rsidR="00E131C2" w:rsidRDefault="007A02B1" w:rsidP="0003775C">
            <w:pPr>
              <w:pStyle w:val="NoSpacing"/>
            </w:pPr>
            <w:r>
              <w:t>.06</w:t>
            </w:r>
          </w:p>
        </w:tc>
        <w:tc>
          <w:tcPr>
            <w:tcW w:w="3192" w:type="dxa"/>
            <w:tcBorders>
              <w:top w:val="single" w:sz="4" w:space="0" w:color="auto"/>
              <w:left w:val="nil"/>
              <w:bottom w:val="nil"/>
              <w:right w:val="nil"/>
            </w:tcBorders>
          </w:tcPr>
          <w:p w:rsidR="00E131C2" w:rsidRDefault="007A02B1" w:rsidP="0003775C">
            <w:pPr>
              <w:pStyle w:val="NoSpacing"/>
            </w:pPr>
            <w:r>
              <w:t>-.038*</w:t>
            </w:r>
          </w:p>
        </w:tc>
      </w:tr>
      <w:tr w:rsidR="00E131C2" w:rsidTr="007A02B1">
        <w:tc>
          <w:tcPr>
            <w:tcW w:w="3192" w:type="dxa"/>
            <w:tcBorders>
              <w:top w:val="nil"/>
              <w:left w:val="nil"/>
              <w:bottom w:val="nil"/>
              <w:right w:val="nil"/>
            </w:tcBorders>
          </w:tcPr>
          <w:p w:rsidR="00E131C2" w:rsidRPr="00817729" w:rsidRDefault="008C076C" w:rsidP="0003775C">
            <w:pPr>
              <w:pStyle w:val="NoSpacing"/>
              <w:rPr>
                <w:b/>
              </w:rPr>
            </w:pPr>
            <w:r w:rsidRPr="00817729">
              <w:rPr>
                <w:b/>
              </w:rPr>
              <w:t>Civil religion</w:t>
            </w:r>
          </w:p>
        </w:tc>
        <w:tc>
          <w:tcPr>
            <w:tcW w:w="3192" w:type="dxa"/>
            <w:tcBorders>
              <w:top w:val="nil"/>
              <w:left w:val="nil"/>
              <w:bottom w:val="nil"/>
              <w:right w:val="nil"/>
            </w:tcBorders>
          </w:tcPr>
          <w:p w:rsidR="00E131C2" w:rsidRDefault="005941A1" w:rsidP="0003775C">
            <w:pPr>
              <w:pStyle w:val="NoSpacing"/>
            </w:pPr>
            <w:r>
              <w:t>.08</w:t>
            </w:r>
          </w:p>
        </w:tc>
        <w:tc>
          <w:tcPr>
            <w:tcW w:w="3192" w:type="dxa"/>
            <w:tcBorders>
              <w:top w:val="nil"/>
              <w:left w:val="nil"/>
              <w:bottom w:val="nil"/>
              <w:right w:val="nil"/>
            </w:tcBorders>
          </w:tcPr>
          <w:p w:rsidR="00E131C2" w:rsidRDefault="005941A1" w:rsidP="0003775C">
            <w:pPr>
              <w:pStyle w:val="NoSpacing"/>
            </w:pPr>
            <w:r>
              <w:t>.009</w:t>
            </w:r>
          </w:p>
        </w:tc>
      </w:tr>
      <w:tr w:rsidR="00E131C2" w:rsidTr="007A02B1">
        <w:tc>
          <w:tcPr>
            <w:tcW w:w="3192" w:type="dxa"/>
            <w:tcBorders>
              <w:top w:val="nil"/>
              <w:left w:val="nil"/>
              <w:bottom w:val="nil"/>
              <w:right w:val="nil"/>
            </w:tcBorders>
          </w:tcPr>
          <w:p w:rsidR="00E131C2" w:rsidRPr="00817729" w:rsidRDefault="008C076C" w:rsidP="0003775C">
            <w:pPr>
              <w:pStyle w:val="NoSpacing"/>
              <w:rPr>
                <w:b/>
              </w:rPr>
            </w:pPr>
            <w:r w:rsidRPr="00817729">
              <w:rPr>
                <w:b/>
              </w:rPr>
              <w:t>Subgroup</w:t>
            </w:r>
          </w:p>
        </w:tc>
        <w:tc>
          <w:tcPr>
            <w:tcW w:w="3192" w:type="dxa"/>
            <w:tcBorders>
              <w:top w:val="nil"/>
              <w:left w:val="nil"/>
              <w:bottom w:val="nil"/>
              <w:right w:val="nil"/>
            </w:tcBorders>
          </w:tcPr>
          <w:p w:rsidR="00E131C2" w:rsidRDefault="008C076C" w:rsidP="0003775C">
            <w:pPr>
              <w:pStyle w:val="NoSpacing"/>
            </w:pPr>
            <w:r>
              <w:t>.15</w:t>
            </w:r>
          </w:p>
        </w:tc>
        <w:tc>
          <w:tcPr>
            <w:tcW w:w="3192" w:type="dxa"/>
            <w:tcBorders>
              <w:top w:val="nil"/>
              <w:left w:val="nil"/>
              <w:bottom w:val="nil"/>
              <w:right w:val="nil"/>
            </w:tcBorders>
          </w:tcPr>
          <w:p w:rsidR="00E131C2" w:rsidRDefault="005941A1" w:rsidP="0003775C">
            <w:pPr>
              <w:pStyle w:val="NoSpacing"/>
            </w:pPr>
            <w:r>
              <w:t>.073</w:t>
            </w:r>
          </w:p>
        </w:tc>
      </w:tr>
      <w:tr w:rsidR="008C076C" w:rsidTr="00030C65">
        <w:tc>
          <w:tcPr>
            <w:tcW w:w="3192" w:type="dxa"/>
            <w:tcBorders>
              <w:top w:val="nil"/>
              <w:left w:val="nil"/>
              <w:bottom w:val="single" w:sz="4" w:space="0" w:color="auto"/>
              <w:right w:val="nil"/>
            </w:tcBorders>
          </w:tcPr>
          <w:p w:rsidR="008C076C" w:rsidRPr="00817729" w:rsidRDefault="008C076C" w:rsidP="0003775C">
            <w:pPr>
              <w:pStyle w:val="NoSpacing"/>
              <w:rPr>
                <w:b/>
              </w:rPr>
            </w:pPr>
            <w:r w:rsidRPr="00817729">
              <w:rPr>
                <w:b/>
              </w:rPr>
              <w:t>Culture wars</w:t>
            </w:r>
          </w:p>
        </w:tc>
        <w:tc>
          <w:tcPr>
            <w:tcW w:w="3192" w:type="dxa"/>
            <w:tcBorders>
              <w:top w:val="nil"/>
              <w:left w:val="nil"/>
              <w:bottom w:val="single" w:sz="4" w:space="0" w:color="auto"/>
              <w:right w:val="nil"/>
            </w:tcBorders>
          </w:tcPr>
          <w:p w:rsidR="008C076C" w:rsidRDefault="008C076C" w:rsidP="0003775C">
            <w:pPr>
              <w:pStyle w:val="NoSpacing"/>
            </w:pPr>
            <w:r>
              <w:t>.45</w:t>
            </w:r>
          </w:p>
        </w:tc>
        <w:tc>
          <w:tcPr>
            <w:tcW w:w="3192" w:type="dxa"/>
            <w:tcBorders>
              <w:top w:val="nil"/>
              <w:left w:val="nil"/>
              <w:bottom w:val="single" w:sz="4" w:space="0" w:color="auto"/>
              <w:right w:val="nil"/>
            </w:tcBorders>
          </w:tcPr>
          <w:p w:rsidR="008C076C" w:rsidRDefault="008C076C" w:rsidP="0003775C">
            <w:pPr>
              <w:pStyle w:val="NoSpacing"/>
            </w:pPr>
            <w:r>
              <w:t>.387**</w:t>
            </w:r>
          </w:p>
        </w:tc>
      </w:tr>
      <w:tr w:rsidR="008C076C" w:rsidTr="00030C65">
        <w:tc>
          <w:tcPr>
            <w:tcW w:w="9576" w:type="dxa"/>
            <w:gridSpan w:val="3"/>
            <w:tcBorders>
              <w:left w:val="nil"/>
              <w:bottom w:val="nil"/>
              <w:right w:val="nil"/>
            </w:tcBorders>
          </w:tcPr>
          <w:p w:rsidR="008C076C" w:rsidRDefault="008C076C" w:rsidP="008C076C">
            <w:pPr>
              <w:pStyle w:val="NoSpacing"/>
            </w:pPr>
            <w:r>
              <w:t>Above: Entries are the mean level of crisis rhetoric by identity type.  Positive mean difference scores indicate the identity type has higher levels of crisis rhetoric than the rest of the sample.</w:t>
            </w:r>
          </w:p>
          <w:p w:rsidR="007A02B1" w:rsidRDefault="007A02B1" w:rsidP="008C076C">
            <w:pPr>
              <w:pStyle w:val="NoSpacing"/>
            </w:pPr>
            <w:r>
              <w:t xml:space="preserve">*p&lt;.05; **p&lt;.001.  </w:t>
            </w:r>
          </w:p>
        </w:tc>
      </w:tr>
    </w:tbl>
    <w:p w:rsidR="00E131C2" w:rsidRDefault="00E131C2" w:rsidP="0003775C">
      <w:pPr>
        <w:pStyle w:val="NoSpacing"/>
      </w:pPr>
    </w:p>
    <w:p w:rsidR="007A02B1" w:rsidRDefault="00030C65" w:rsidP="00030C65">
      <w:r>
        <w:br w:type="page"/>
      </w:r>
    </w:p>
    <w:p w:rsidR="00C47EE8" w:rsidRPr="00C47EE8" w:rsidRDefault="00C47EE8" w:rsidP="00C47EE8">
      <w:pPr>
        <w:pStyle w:val="NoSpacing"/>
        <w:rPr>
          <w:b/>
          <w:u w:val="single"/>
        </w:rPr>
      </w:pPr>
      <w:r w:rsidRPr="00C47EE8">
        <w:rPr>
          <w:b/>
          <w:u w:val="single"/>
        </w:rPr>
        <w:lastRenderedPageBreak/>
        <w:t>5. Civi</w:t>
      </w:r>
      <w:r>
        <w:rPr>
          <w:b/>
          <w:u w:val="single"/>
        </w:rPr>
        <w:t>l religion and God-concept</w:t>
      </w:r>
    </w:p>
    <w:p w:rsidR="009E72F8" w:rsidRDefault="009E72F8" w:rsidP="00C47EE8">
      <w:pPr>
        <w:pStyle w:val="NoSpacing"/>
      </w:pPr>
    </w:p>
    <w:tbl>
      <w:tblPr>
        <w:tblStyle w:val="TableGrid"/>
        <w:tblW w:w="0" w:type="auto"/>
        <w:tblLook w:val="04A0" w:firstRow="1" w:lastRow="0" w:firstColumn="1" w:lastColumn="0" w:noHBand="0" w:noVBand="1"/>
      </w:tblPr>
      <w:tblGrid>
        <w:gridCol w:w="3168"/>
        <w:gridCol w:w="2984"/>
      </w:tblGrid>
      <w:tr w:rsidR="00C47EE8" w:rsidTr="006927A3">
        <w:trPr>
          <w:trHeight w:val="271"/>
        </w:trPr>
        <w:tc>
          <w:tcPr>
            <w:tcW w:w="6152" w:type="dxa"/>
            <w:gridSpan w:val="2"/>
            <w:tcBorders>
              <w:top w:val="nil"/>
              <w:left w:val="nil"/>
              <w:bottom w:val="single" w:sz="4" w:space="0" w:color="auto"/>
              <w:right w:val="nil"/>
            </w:tcBorders>
          </w:tcPr>
          <w:p w:rsidR="00C47EE8" w:rsidRPr="00C47EE8" w:rsidRDefault="00C47EE8" w:rsidP="00C47EE8">
            <w:pPr>
              <w:pStyle w:val="NoSpacing"/>
              <w:jc w:val="center"/>
              <w:rPr>
                <w:b/>
              </w:rPr>
            </w:pPr>
            <w:r w:rsidRPr="00C47EE8">
              <w:rPr>
                <w:b/>
              </w:rPr>
              <w:t>Civil religion and God-concept</w:t>
            </w:r>
          </w:p>
        </w:tc>
      </w:tr>
      <w:tr w:rsidR="00C47EE8" w:rsidTr="006927A3">
        <w:trPr>
          <w:trHeight w:val="255"/>
        </w:trPr>
        <w:tc>
          <w:tcPr>
            <w:tcW w:w="3168" w:type="dxa"/>
            <w:tcBorders>
              <w:left w:val="nil"/>
              <w:bottom w:val="single" w:sz="4" w:space="0" w:color="auto"/>
              <w:right w:val="nil"/>
            </w:tcBorders>
          </w:tcPr>
          <w:p w:rsidR="00C47EE8" w:rsidRPr="00C47EE8" w:rsidRDefault="00C47EE8" w:rsidP="00C47EE8">
            <w:pPr>
              <w:pStyle w:val="NoSpacing"/>
              <w:rPr>
                <w:b/>
              </w:rPr>
            </w:pPr>
            <w:r w:rsidRPr="00C47EE8">
              <w:rPr>
                <w:b/>
              </w:rPr>
              <w:t>Independent variable</w:t>
            </w:r>
          </w:p>
        </w:tc>
        <w:tc>
          <w:tcPr>
            <w:tcW w:w="2984" w:type="dxa"/>
            <w:tcBorders>
              <w:left w:val="nil"/>
              <w:bottom w:val="single" w:sz="4" w:space="0" w:color="auto"/>
              <w:right w:val="nil"/>
            </w:tcBorders>
          </w:tcPr>
          <w:p w:rsidR="00C47EE8" w:rsidRPr="00C47EE8" w:rsidRDefault="00C47EE8" w:rsidP="00C47EE8">
            <w:pPr>
              <w:pStyle w:val="NoSpacing"/>
              <w:rPr>
                <w:b/>
              </w:rPr>
            </w:pPr>
            <w:r w:rsidRPr="00C47EE8">
              <w:rPr>
                <w:b/>
              </w:rPr>
              <w:t>B</w:t>
            </w:r>
          </w:p>
        </w:tc>
      </w:tr>
      <w:tr w:rsidR="00C47EE8" w:rsidTr="006927A3">
        <w:trPr>
          <w:trHeight w:val="271"/>
        </w:trPr>
        <w:tc>
          <w:tcPr>
            <w:tcW w:w="3168" w:type="dxa"/>
            <w:tcBorders>
              <w:left w:val="nil"/>
              <w:bottom w:val="nil"/>
              <w:right w:val="nil"/>
            </w:tcBorders>
          </w:tcPr>
          <w:p w:rsidR="00C47EE8" w:rsidRPr="00C47EE8" w:rsidRDefault="00C47EE8" w:rsidP="00A53772">
            <w:pPr>
              <w:rPr>
                <w:b/>
              </w:rPr>
            </w:pPr>
            <w:r w:rsidRPr="00C47EE8">
              <w:rPr>
                <w:b/>
              </w:rPr>
              <w:t>Judge imagery</w:t>
            </w:r>
          </w:p>
        </w:tc>
        <w:tc>
          <w:tcPr>
            <w:tcW w:w="2984" w:type="dxa"/>
            <w:tcBorders>
              <w:left w:val="nil"/>
              <w:bottom w:val="nil"/>
              <w:right w:val="nil"/>
            </w:tcBorders>
          </w:tcPr>
          <w:p w:rsidR="00C47EE8" w:rsidRPr="00E73D2C" w:rsidRDefault="00C47EE8" w:rsidP="00C47EE8">
            <w:r w:rsidRPr="00E73D2C">
              <w:t>-0.87</w:t>
            </w:r>
          </w:p>
        </w:tc>
      </w:tr>
      <w:tr w:rsidR="00C47EE8" w:rsidTr="006927A3">
        <w:trPr>
          <w:trHeight w:val="271"/>
        </w:trPr>
        <w:tc>
          <w:tcPr>
            <w:tcW w:w="3168" w:type="dxa"/>
            <w:tcBorders>
              <w:top w:val="nil"/>
              <w:left w:val="nil"/>
              <w:bottom w:val="nil"/>
              <w:right w:val="nil"/>
            </w:tcBorders>
          </w:tcPr>
          <w:p w:rsidR="00C47EE8" w:rsidRPr="00C47EE8" w:rsidRDefault="00C47EE8" w:rsidP="00A53772">
            <w:pPr>
              <w:rPr>
                <w:b/>
              </w:rPr>
            </w:pPr>
            <w:r w:rsidRPr="00C47EE8">
              <w:rPr>
                <w:b/>
              </w:rPr>
              <w:t>Savior imagery</w:t>
            </w:r>
          </w:p>
        </w:tc>
        <w:tc>
          <w:tcPr>
            <w:tcW w:w="2984" w:type="dxa"/>
            <w:tcBorders>
              <w:top w:val="nil"/>
              <w:left w:val="nil"/>
              <w:bottom w:val="nil"/>
              <w:right w:val="nil"/>
            </w:tcBorders>
          </w:tcPr>
          <w:p w:rsidR="00C47EE8" w:rsidRPr="00E73D2C" w:rsidRDefault="00C47EE8" w:rsidP="00C47EE8">
            <w:r w:rsidRPr="00E73D2C">
              <w:t>-0.177</w:t>
            </w:r>
          </w:p>
        </w:tc>
      </w:tr>
      <w:tr w:rsidR="00C47EE8" w:rsidTr="006927A3">
        <w:trPr>
          <w:trHeight w:val="255"/>
        </w:trPr>
        <w:tc>
          <w:tcPr>
            <w:tcW w:w="3168" w:type="dxa"/>
            <w:tcBorders>
              <w:top w:val="nil"/>
              <w:left w:val="nil"/>
              <w:bottom w:val="nil"/>
              <w:right w:val="nil"/>
            </w:tcBorders>
          </w:tcPr>
          <w:p w:rsidR="00C47EE8" w:rsidRPr="00C47EE8" w:rsidRDefault="00C47EE8" w:rsidP="00A53772">
            <w:pPr>
              <w:rPr>
                <w:b/>
              </w:rPr>
            </w:pPr>
            <w:r w:rsidRPr="00C47EE8">
              <w:rPr>
                <w:b/>
              </w:rPr>
              <w:t>Maternal imagery</w:t>
            </w:r>
          </w:p>
        </w:tc>
        <w:tc>
          <w:tcPr>
            <w:tcW w:w="2984" w:type="dxa"/>
            <w:tcBorders>
              <w:top w:val="nil"/>
              <w:left w:val="nil"/>
              <w:bottom w:val="nil"/>
              <w:right w:val="nil"/>
            </w:tcBorders>
          </w:tcPr>
          <w:p w:rsidR="00C47EE8" w:rsidRPr="00E73D2C" w:rsidRDefault="00C47EE8" w:rsidP="00C47EE8">
            <w:r w:rsidRPr="00E73D2C">
              <w:t>0.228</w:t>
            </w:r>
          </w:p>
        </w:tc>
      </w:tr>
      <w:tr w:rsidR="00C47EE8" w:rsidTr="006927A3">
        <w:trPr>
          <w:trHeight w:val="271"/>
        </w:trPr>
        <w:tc>
          <w:tcPr>
            <w:tcW w:w="3168" w:type="dxa"/>
            <w:tcBorders>
              <w:top w:val="nil"/>
              <w:left w:val="nil"/>
              <w:bottom w:val="nil"/>
              <w:right w:val="nil"/>
            </w:tcBorders>
          </w:tcPr>
          <w:p w:rsidR="00C47EE8" w:rsidRPr="00C47EE8" w:rsidRDefault="00C47EE8" w:rsidP="00A53772">
            <w:pPr>
              <w:rPr>
                <w:b/>
              </w:rPr>
            </w:pPr>
            <w:r w:rsidRPr="00C47EE8">
              <w:rPr>
                <w:b/>
              </w:rPr>
              <w:t>Paternal imagery</w:t>
            </w:r>
          </w:p>
        </w:tc>
        <w:tc>
          <w:tcPr>
            <w:tcW w:w="2984" w:type="dxa"/>
            <w:tcBorders>
              <w:top w:val="nil"/>
              <w:left w:val="nil"/>
              <w:bottom w:val="nil"/>
              <w:right w:val="nil"/>
            </w:tcBorders>
          </w:tcPr>
          <w:p w:rsidR="00C47EE8" w:rsidRPr="00E73D2C" w:rsidRDefault="00C47EE8" w:rsidP="00C47EE8">
            <w:r>
              <w:t>1.234**</w:t>
            </w:r>
          </w:p>
        </w:tc>
      </w:tr>
      <w:tr w:rsidR="00C47EE8" w:rsidTr="006927A3">
        <w:trPr>
          <w:trHeight w:val="255"/>
        </w:trPr>
        <w:tc>
          <w:tcPr>
            <w:tcW w:w="3168" w:type="dxa"/>
            <w:tcBorders>
              <w:top w:val="nil"/>
              <w:left w:val="nil"/>
              <w:bottom w:val="nil"/>
              <w:right w:val="nil"/>
            </w:tcBorders>
          </w:tcPr>
          <w:p w:rsidR="00C47EE8" w:rsidRPr="00C47EE8" w:rsidRDefault="00C47EE8" w:rsidP="00A53772">
            <w:pPr>
              <w:rPr>
                <w:b/>
              </w:rPr>
            </w:pPr>
            <w:r w:rsidRPr="00C47EE8">
              <w:rPr>
                <w:b/>
              </w:rPr>
              <w:t>Companion imagery</w:t>
            </w:r>
          </w:p>
        </w:tc>
        <w:tc>
          <w:tcPr>
            <w:tcW w:w="2984" w:type="dxa"/>
            <w:tcBorders>
              <w:top w:val="nil"/>
              <w:left w:val="nil"/>
              <w:bottom w:val="nil"/>
              <w:right w:val="nil"/>
            </w:tcBorders>
          </w:tcPr>
          <w:p w:rsidR="00C47EE8" w:rsidRPr="00E73D2C" w:rsidRDefault="00C47EE8" w:rsidP="00C47EE8">
            <w:r w:rsidRPr="00E73D2C">
              <w:t>0.11</w:t>
            </w:r>
          </w:p>
        </w:tc>
      </w:tr>
      <w:tr w:rsidR="00C47EE8" w:rsidTr="006927A3">
        <w:trPr>
          <w:trHeight w:val="271"/>
        </w:trPr>
        <w:tc>
          <w:tcPr>
            <w:tcW w:w="3168" w:type="dxa"/>
            <w:tcBorders>
              <w:top w:val="nil"/>
              <w:left w:val="nil"/>
              <w:bottom w:val="nil"/>
              <w:right w:val="nil"/>
            </w:tcBorders>
          </w:tcPr>
          <w:p w:rsidR="00C47EE8" w:rsidRPr="00C47EE8" w:rsidRDefault="00C47EE8" w:rsidP="00A53772">
            <w:pPr>
              <w:rPr>
                <w:b/>
              </w:rPr>
            </w:pPr>
            <w:r w:rsidRPr="00C47EE8">
              <w:rPr>
                <w:b/>
              </w:rPr>
              <w:t>Provider imagery</w:t>
            </w:r>
          </w:p>
        </w:tc>
        <w:tc>
          <w:tcPr>
            <w:tcW w:w="2984" w:type="dxa"/>
            <w:tcBorders>
              <w:top w:val="nil"/>
              <w:left w:val="nil"/>
              <w:bottom w:val="nil"/>
              <w:right w:val="nil"/>
            </w:tcBorders>
          </w:tcPr>
          <w:p w:rsidR="00C47EE8" w:rsidRPr="00E73D2C" w:rsidRDefault="00C47EE8" w:rsidP="00C47EE8">
            <w:r w:rsidRPr="00E73D2C">
              <w:t>0.809</w:t>
            </w:r>
            <w:r>
              <w:t>*</w:t>
            </w:r>
          </w:p>
        </w:tc>
      </w:tr>
      <w:tr w:rsidR="00C47EE8" w:rsidTr="006927A3">
        <w:trPr>
          <w:trHeight w:val="255"/>
        </w:trPr>
        <w:tc>
          <w:tcPr>
            <w:tcW w:w="3168" w:type="dxa"/>
            <w:tcBorders>
              <w:top w:val="nil"/>
              <w:left w:val="nil"/>
              <w:bottom w:val="nil"/>
              <w:right w:val="nil"/>
            </w:tcBorders>
          </w:tcPr>
          <w:p w:rsidR="00C47EE8" w:rsidRPr="00C47EE8" w:rsidRDefault="00C47EE8" w:rsidP="00C47EE8">
            <w:pPr>
              <w:rPr>
                <w:b/>
              </w:rPr>
            </w:pPr>
            <w:r w:rsidRPr="00C47EE8">
              <w:rPr>
                <w:b/>
              </w:rPr>
              <w:t>No God imagery</w:t>
            </w:r>
          </w:p>
        </w:tc>
        <w:tc>
          <w:tcPr>
            <w:tcW w:w="2984" w:type="dxa"/>
            <w:tcBorders>
              <w:top w:val="nil"/>
              <w:left w:val="nil"/>
              <w:bottom w:val="nil"/>
              <w:right w:val="nil"/>
            </w:tcBorders>
          </w:tcPr>
          <w:p w:rsidR="00C47EE8" w:rsidRPr="00E73D2C" w:rsidRDefault="00C47EE8" w:rsidP="00C47EE8">
            <w:r w:rsidRPr="00E73D2C">
              <w:t>-0.45</w:t>
            </w:r>
            <w:r>
              <w:t>3*</w:t>
            </w:r>
          </w:p>
        </w:tc>
      </w:tr>
      <w:tr w:rsidR="00C47EE8" w:rsidTr="006927A3">
        <w:trPr>
          <w:trHeight w:val="271"/>
        </w:trPr>
        <w:tc>
          <w:tcPr>
            <w:tcW w:w="3168" w:type="dxa"/>
            <w:tcBorders>
              <w:top w:val="nil"/>
              <w:left w:val="nil"/>
              <w:bottom w:val="nil"/>
              <w:right w:val="nil"/>
            </w:tcBorders>
          </w:tcPr>
          <w:p w:rsidR="00C47EE8" w:rsidRPr="00C47EE8" w:rsidRDefault="00C47EE8" w:rsidP="00A53772">
            <w:pPr>
              <w:rPr>
                <w:b/>
              </w:rPr>
            </w:pPr>
            <w:r w:rsidRPr="00C47EE8">
              <w:rPr>
                <w:b/>
              </w:rPr>
              <w:t>Constant</w:t>
            </w:r>
          </w:p>
        </w:tc>
        <w:tc>
          <w:tcPr>
            <w:tcW w:w="2984" w:type="dxa"/>
            <w:tcBorders>
              <w:top w:val="nil"/>
              <w:left w:val="nil"/>
              <w:bottom w:val="nil"/>
              <w:right w:val="nil"/>
            </w:tcBorders>
          </w:tcPr>
          <w:p w:rsidR="00C47EE8" w:rsidRDefault="00C47EE8" w:rsidP="00C47EE8">
            <w:r w:rsidRPr="00E73D2C">
              <w:t>0.177</w:t>
            </w:r>
            <w:r>
              <w:t>*</w:t>
            </w:r>
          </w:p>
        </w:tc>
      </w:tr>
      <w:tr w:rsidR="00C47EE8" w:rsidTr="006927A3">
        <w:trPr>
          <w:trHeight w:val="271"/>
        </w:trPr>
        <w:tc>
          <w:tcPr>
            <w:tcW w:w="3168" w:type="dxa"/>
            <w:tcBorders>
              <w:top w:val="nil"/>
              <w:left w:val="nil"/>
              <w:bottom w:val="nil"/>
              <w:right w:val="nil"/>
            </w:tcBorders>
          </w:tcPr>
          <w:p w:rsidR="00C47EE8" w:rsidRDefault="00C47EE8" w:rsidP="00C47EE8">
            <w:pPr>
              <w:pStyle w:val="NoSpacing"/>
            </w:pPr>
          </w:p>
        </w:tc>
        <w:tc>
          <w:tcPr>
            <w:tcW w:w="2984" w:type="dxa"/>
            <w:tcBorders>
              <w:top w:val="nil"/>
              <w:left w:val="nil"/>
              <w:bottom w:val="nil"/>
              <w:right w:val="nil"/>
            </w:tcBorders>
          </w:tcPr>
          <w:p w:rsidR="00C47EE8" w:rsidRDefault="00C47EE8" w:rsidP="00C47EE8">
            <w:pPr>
              <w:pStyle w:val="NoSpacing"/>
            </w:pPr>
          </w:p>
        </w:tc>
      </w:tr>
      <w:tr w:rsidR="00C47EE8" w:rsidTr="006927A3">
        <w:trPr>
          <w:trHeight w:val="255"/>
        </w:trPr>
        <w:tc>
          <w:tcPr>
            <w:tcW w:w="3168" w:type="dxa"/>
            <w:tcBorders>
              <w:top w:val="nil"/>
              <w:left w:val="nil"/>
              <w:bottom w:val="nil"/>
              <w:right w:val="nil"/>
            </w:tcBorders>
          </w:tcPr>
          <w:p w:rsidR="00C47EE8" w:rsidRPr="006927A3" w:rsidRDefault="00C47EE8" w:rsidP="00C47EE8">
            <w:pPr>
              <w:pStyle w:val="NoSpacing"/>
              <w:rPr>
                <w:b/>
              </w:rPr>
            </w:pPr>
            <w:proofErr w:type="spellStart"/>
            <w:r w:rsidRPr="006927A3">
              <w:rPr>
                <w:b/>
              </w:rPr>
              <w:t>Nagelkerke</w:t>
            </w:r>
            <w:proofErr w:type="spellEnd"/>
            <w:r w:rsidRPr="006927A3">
              <w:rPr>
                <w:b/>
              </w:rPr>
              <w:t xml:space="preserve"> R square</w:t>
            </w:r>
          </w:p>
        </w:tc>
        <w:tc>
          <w:tcPr>
            <w:tcW w:w="2984" w:type="dxa"/>
            <w:tcBorders>
              <w:top w:val="nil"/>
              <w:left w:val="nil"/>
              <w:bottom w:val="nil"/>
              <w:right w:val="nil"/>
            </w:tcBorders>
          </w:tcPr>
          <w:p w:rsidR="00C47EE8" w:rsidRDefault="006927A3" w:rsidP="00C47EE8">
            <w:pPr>
              <w:pStyle w:val="NoSpacing"/>
            </w:pPr>
            <w:r>
              <w:t>.036</w:t>
            </w:r>
          </w:p>
        </w:tc>
      </w:tr>
      <w:tr w:rsidR="00C47EE8" w:rsidTr="00030C65">
        <w:trPr>
          <w:trHeight w:val="271"/>
        </w:trPr>
        <w:tc>
          <w:tcPr>
            <w:tcW w:w="3168" w:type="dxa"/>
            <w:tcBorders>
              <w:top w:val="nil"/>
              <w:left w:val="nil"/>
              <w:bottom w:val="single" w:sz="4" w:space="0" w:color="auto"/>
              <w:right w:val="nil"/>
            </w:tcBorders>
          </w:tcPr>
          <w:p w:rsidR="00C47EE8" w:rsidRPr="006927A3" w:rsidRDefault="00C47EE8" w:rsidP="00C47EE8">
            <w:pPr>
              <w:pStyle w:val="NoSpacing"/>
              <w:rPr>
                <w:b/>
              </w:rPr>
            </w:pPr>
            <w:r w:rsidRPr="006927A3">
              <w:rPr>
                <w:b/>
              </w:rPr>
              <w:t>% correctly predicted</w:t>
            </w:r>
          </w:p>
        </w:tc>
        <w:tc>
          <w:tcPr>
            <w:tcW w:w="2984" w:type="dxa"/>
            <w:tcBorders>
              <w:top w:val="nil"/>
              <w:left w:val="nil"/>
              <w:bottom w:val="single" w:sz="4" w:space="0" w:color="auto"/>
              <w:right w:val="nil"/>
            </w:tcBorders>
          </w:tcPr>
          <w:p w:rsidR="006927A3" w:rsidRDefault="006927A3" w:rsidP="00C47EE8">
            <w:pPr>
              <w:pStyle w:val="NoSpacing"/>
            </w:pPr>
            <w:r>
              <w:t>57.1%</w:t>
            </w:r>
          </w:p>
        </w:tc>
      </w:tr>
      <w:tr w:rsidR="00C47EE8" w:rsidTr="00030C65">
        <w:trPr>
          <w:trHeight w:val="271"/>
        </w:trPr>
        <w:tc>
          <w:tcPr>
            <w:tcW w:w="6152" w:type="dxa"/>
            <w:gridSpan w:val="2"/>
            <w:tcBorders>
              <w:left w:val="nil"/>
              <w:bottom w:val="nil"/>
              <w:right w:val="nil"/>
            </w:tcBorders>
          </w:tcPr>
          <w:p w:rsidR="00C47EE8" w:rsidRDefault="00C47EE8" w:rsidP="00C47EE8">
            <w:pPr>
              <w:pStyle w:val="NoSpacing"/>
            </w:pPr>
            <w:r>
              <w:t xml:space="preserve">Above: Entries are </w:t>
            </w:r>
            <w:proofErr w:type="spellStart"/>
            <w:r>
              <w:t>logit</w:t>
            </w:r>
            <w:proofErr w:type="spellEnd"/>
            <w:r>
              <w:t xml:space="preserve"> coefficients </w:t>
            </w:r>
            <w:r w:rsidR="006927A3">
              <w:t>predicting civil religion identity rhetoric.</w:t>
            </w:r>
          </w:p>
          <w:p w:rsidR="006927A3" w:rsidRDefault="006927A3" w:rsidP="00C47EE8">
            <w:pPr>
              <w:pStyle w:val="NoSpacing"/>
            </w:pPr>
            <w:r>
              <w:t xml:space="preserve">*p&lt;.05; **p&lt;.001.  </w:t>
            </w:r>
          </w:p>
        </w:tc>
        <w:bookmarkStart w:id="0" w:name="_GoBack"/>
        <w:bookmarkEnd w:id="0"/>
      </w:tr>
    </w:tbl>
    <w:p w:rsidR="00C47EE8" w:rsidRDefault="00C47EE8" w:rsidP="003F01A6">
      <w:pPr>
        <w:pStyle w:val="NoSpacing"/>
      </w:pPr>
    </w:p>
    <w:p w:rsidR="003F01A6" w:rsidRPr="00E131C2" w:rsidRDefault="003F01A6" w:rsidP="003F01A6">
      <w:pPr>
        <w:pStyle w:val="NoSpacing"/>
      </w:pPr>
    </w:p>
    <w:sectPr w:rsidR="003F01A6" w:rsidRPr="00E1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67"/>
    <w:rsid w:val="00004C86"/>
    <w:rsid w:val="00030C65"/>
    <w:rsid w:val="0003775C"/>
    <w:rsid w:val="00064326"/>
    <w:rsid w:val="00197D7E"/>
    <w:rsid w:val="00273967"/>
    <w:rsid w:val="002B2AE6"/>
    <w:rsid w:val="002C54A7"/>
    <w:rsid w:val="003F01A6"/>
    <w:rsid w:val="004F3A44"/>
    <w:rsid w:val="005941A1"/>
    <w:rsid w:val="005C0149"/>
    <w:rsid w:val="00626D59"/>
    <w:rsid w:val="006927A3"/>
    <w:rsid w:val="00717D48"/>
    <w:rsid w:val="007A02B1"/>
    <w:rsid w:val="00817729"/>
    <w:rsid w:val="008C076C"/>
    <w:rsid w:val="00996AA8"/>
    <w:rsid w:val="009E72F8"/>
    <w:rsid w:val="00A85F02"/>
    <w:rsid w:val="00AF667B"/>
    <w:rsid w:val="00C47EE8"/>
    <w:rsid w:val="00C7016E"/>
    <w:rsid w:val="00E109D1"/>
    <w:rsid w:val="00E131C2"/>
    <w:rsid w:val="00F124B2"/>
    <w:rsid w:val="00FB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75C"/>
    <w:pPr>
      <w:spacing w:after="0" w:line="240" w:lineRule="auto"/>
    </w:pPr>
  </w:style>
  <w:style w:type="character" w:styleId="Hyperlink">
    <w:name w:val="Hyperlink"/>
    <w:basedOn w:val="DefaultParagraphFont"/>
    <w:uiPriority w:val="99"/>
    <w:unhideWhenUsed/>
    <w:rsid w:val="0003775C"/>
    <w:rPr>
      <w:color w:val="0000FF" w:themeColor="hyperlink"/>
      <w:u w:val="single"/>
    </w:rPr>
  </w:style>
  <w:style w:type="table" w:styleId="TableGrid">
    <w:name w:val="Table Grid"/>
    <w:basedOn w:val="TableNormal"/>
    <w:uiPriority w:val="59"/>
    <w:rsid w:val="00E13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75C"/>
    <w:pPr>
      <w:spacing w:after="0" w:line="240" w:lineRule="auto"/>
    </w:pPr>
  </w:style>
  <w:style w:type="character" w:styleId="Hyperlink">
    <w:name w:val="Hyperlink"/>
    <w:basedOn w:val="DefaultParagraphFont"/>
    <w:uiPriority w:val="99"/>
    <w:unhideWhenUsed/>
    <w:rsid w:val="0003775C"/>
    <w:rPr>
      <w:color w:val="0000FF" w:themeColor="hyperlink"/>
      <w:u w:val="single"/>
    </w:rPr>
  </w:style>
  <w:style w:type="table" w:styleId="TableGrid">
    <w:name w:val="Table Grid"/>
    <w:basedOn w:val="TableNormal"/>
    <w:uiPriority w:val="59"/>
    <w:rsid w:val="00E13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ppc@uw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 Christopher B</dc:creator>
  <cp:keywords/>
  <dc:description/>
  <cp:lastModifiedBy>Chris Chapp</cp:lastModifiedBy>
  <cp:revision>21</cp:revision>
  <dcterms:created xsi:type="dcterms:W3CDTF">2012-04-20T20:32:00Z</dcterms:created>
  <dcterms:modified xsi:type="dcterms:W3CDTF">2012-04-26T15:39:00Z</dcterms:modified>
</cp:coreProperties>
</file>